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7C47B" w14:textId="44C117DA" w:rsidR="000128F4" w:rsidRPr="00803A75" w:rsidRDefault="00DB2E1B">
      <w:pPr>
        <w:rPr>
          <w:lang w:val="fr-FR"/>
        </w:rPr>
      </w:pPr>
    </w:p>
    <w:p w14:paraId="296110F8" w14:textId="67B67086" w:rsidR="001129CB" w:rsidRPr="00803A75" w:rsidRDefault="005F5C10" w:rsidP="00504A32">
      <w:pPr>
        <w:rPr>
          <w:i/>
          <w:iCs/>
          <w:lang w:val="fr-FR"/>
        </w:rPr>
      </w:pPr>
      <w:r w:rsidRPr="00803A75">
        <w:rPr>
          <w:i/>
          <w:iCs/>
          <w:lang w:val="fr-FR"/>
        </w:rPr>
        <w:t>Communiqué de presse (pour diffusion immédiate)</w:t>
      </w:r>
      <w:r w:rsidRPr="00803A75">
        <w:rPr>
          <w:i/>
          <w:iCs/>
          <w:lang w:val="fr-FR"/>
        </w:rPr>
        <w:t xml:space="preserve"> </w:t>
      </w:r>
      <w:r w:rsidRPr="00803A75">
        <w:rPr>
          <w:i/>
          <w:iCs/>
          <w:lang w:val="fr-FR"/>
        </w:rPr>
        <w:t>:</w:t>
      </w:r>
      <w:r w:rsidR="001129CB" w:rsidRPr="00803A75">
        <w:rPr>
          <w:i/>
          <w:iCs/>
          <w:lang w:val="fr-FR"/>
        </w:rPr>
        <w:br/>
      </w:r>
    </w:p>
    <w:p w14:paraId="7B305F0D" w14:textId="77777777" w:rsidR="005F5C10" w:rsidRPr="00803A75" w:rsidRDefault="005F5C10" w:rsidP="005F5C10">
      <w:pPr>
        <w:jc w:val="center"/>
        <w:rPr>
          <w:b/>
          <w:bCs/>
          <w:sz w:val="28"/>
          <w:szCs w:val="24"/>
          <w:lang w:val="fr-FR"/>
        </w:rPr>
      </w:pPr>
      <w:r w:rsidRPr="00803A75">
        <w:rPr>
          <w:b/>
          <w:bCs/>
          <w:sz w:val="28"/>
          <w:szCs w:val="24"/>
          <w:lang w:val="fr-FR"/>
        </w:rPr>
        <w:t>LMDF fête son 10e anniversaire</w:t>
      </w:r>
    </w:p>
    <w:p w14:paraId="212C8402" w14:textId="09BB5D47" w:rsidR="001129CB" w:rsidRPr="00803A75" w:rsidRDefault="005F5C10" w:rsidP="005F5C10">
      <w:pPr>
        <w:pBdr>
          <w:bottom w:val="single" w:sz="4" w:space="1" w:color="auto"/>
        </w:pBdr>
        <w:jc w:val="center"/>
        <w:rPr>
          <w:b/>
          <w:bCs/>
          <w:sz w:val="28"/>
          <w:szCs w:val="24"/>
          <w:lang w:val="fr-FR"/>
        </w:rPr>
      </w:pPr>
      <w:r w:rsidRPr="00803A75">
        <w:rPr>
          <w:b/>
          <w:bCs/>
          <w:sz w:val="28"/>
          <w:szCs w:val="24"/>
          <w:lang w:val="fr-FR"/>
        </w:rPr>
        <w:t>11.03.2010 - 11.03.2020</w:t>
      </w:r>
    </w:p>
    <w:p w14:paraId="446EC6AB" w14:textId="77777777" w:rsidR="005F5C10" w:rsidRPr="00803A75" w:rsidRDefault="005F5C10" w:rsidP="001129CB">
      <w:pPr>
        <w:rPr>
          <w:b/>
          <w:bCs/>
          <w:sz w:val="28"/>
          <w:szCs w:val="24"/>
          <w:lang w:val="fr-FR"/>
        </w:rPr>
      </w:pPr>
    </w:p>
    <w:p w14:paraId="30A3DC8A" w14:textId="77777777" w:rsidR="005F5C10" w:rsidRPr="00803A75" w:rsidRDefault="005F5C10" w:rsidP="00504A32">
      <w:pPr>
        <w:rPr>
          <w:b/>
          <w:bCs/>
          <w:sz w:val="28"/>
          <w:szCs w:val="24"/>
          <w:lang w:val="fr-FR"/>
        </w:rPr>
      </w:pPr>
      <w:r w:rsidRPr="00803A75">
        <w:rPr>
          <w:b/>
          <w:bCs/>
          <w:sz w:val="28"/>
          <w:szCs w:val="24"/>
          <w:lang w:val="fr-FR"/>
        </w:rPr>
        <w:t>Donner un nouveau sens à la microfinance</w:t>
      </w:r>
    </w:p>
    <w:p w14:paraId="2958D513" w14:textId="6FFCE8AA" w:rsidR="00CB3758" w:rsidRPr="00803A75" w:rsidRDefault="005F5C10" w:rsidP="00504A32">
      <w:pPr>
        <w:rPr>
          <w:sz w:val="20"/>
          <w:szCs w:val="18"/>
          <w:lang w:val="fr-FR"/>
        </w:rPr>
      </w:pPr>
      <w:r w:rsidRPr="00803A75">
        <w:rPr>
          <w:sz w:val="20"/>
          <w:szCs w:val="18"/>
          <w:lang w:val="fr-FR"/>
        </w:rPr>
        <w:t xml:space="preserve">LMDF célèbre son 10e anniversaire le 11 mars 2020 et attend avec impatience </w:t>
      </w:r>
      <w:r w:rsidRPr="00803A75">
        <w:rPr>
          <w:sz w:val="20"/>
          <w:szCs w:val="18"/>
          <w:lang w:val="fr-FR"/>
        </w:rPr>
        <w:t xml:space="preserve">les </w:t>
      </w:r>
      <w:r w:rsidRPr="00803A75">
        <w:rPr>
          <w:sz w:val="20"/>
          <w:szCs w:val="18"/>
          <w:lang w:val="fr-FR"/>
        </w:rPr>
        <w:t xml:space="preserve">10 </w:t>
      </w:r>
      <w:r w:rsidRPr="00803A75">
        <w:rPr>
          <w:sz w:val="20"/>
          <w:szCs w:val="18"/>
          <w:lang w:val="fr-FR"/>
        </w:rPr>
        <w:t>prochaines</w:t>
      </w:r>
      <w:r w:rsidRPr="00803A75">
        <w:rPr>
          <w:sz w:val="20"/>
          <w:szCs w:val="18"/>
          <w:lang w:val="fr-FR"/>
        </w:rPr>
        <w:t xml:space="preserve"> années de financement de solutions innovantes pour soutenir les </w:t>
      </w:r>
      <w:r w:rsidRPr="00803A75">
        <w:rPr>
          <w:sz w:val="20"/>
          <w:szCs w:val="18"/>
          <w:lang w:val="fr-FR"/>
        </w:rPr>
        <w:t xml:space="preserve">plus </w:t>
      </w:r>
      <w:r w:rsidRPr="00803A75">
        <w:rPr>
          <w:sz w:val="20"/>
          <w:szCs w:val="18"/>
          <w:lang w:val="fr-FR"/>
        </w:rPr>
        <w:t xml:space="preserve">pauvres. La dernière décennie a vu un large soutien </w:t>
      </w:r>
      <w:r w:rsidRPr="00803A75">
        <w:rPr>
          <w:sz w:val="20"/>
          <w:szCs w:val="18"/>
          <w:lang w:val="fr-FR"/>
        </w:rPr>
        <w:t>envers</w:t>
      </w:r>
      <w:r w:rsidRPr="00803A75">
        <w:rPr>
          <w:sz w:val="20"/>
          <w:szCs w:val="18"/>
          <w:lang w:val="fr-FR"/>
        </w:rPr>
        <w:t xml:space="preserve"> plus de 100 petites institutions de microfinance</w:t>
      </w:r>
      <w:r w:rsidRPr="00803A75">
        <w:rPr>
          <w:sz w:val="20"/>
          <w:szCs w:val="18"/>
          <w:lang w:val="fr-FR"/>
        </w:rPr>
        <w:t xml:space="preserve">, et ce </w:t>
      </w:r>
      <w:r w:rsidRPr="00803A75">
        <w:rPr>
          <w:sz w:val="20"/>
          <w:szCs w:val="18"/>
          <w:lang w:val="fr-FR"/>
        </w:rPr>
        <w:t>dans 35 pays à travers plus de 160 investissements. Au cours des dix prochaines années, la stratégie d</w:t>
      </w:r>
      <w:r w:rsidRPr="00803A75">
        <w:rPr>
          <w:sz w:val="20"/>
          <w:szCs w:val="18"/>
          <w:lang w:val="fr-FR"/>
        </w:rPr>
        <w:t>u</w:t>
      </w:r>
      <w:r w:rsidRPr="00803A75">
        <w:rPr>
          <w:sz w:val="20"/>
          <w:szCs w:val="18"/>
          <w:lang w:val="fr-FR"/>
        </w:rPr>
        <w:t xml:space="preserve"> LMDF consiste à accompagner activement la transformation du secteur à travers la </w:t>
      </w:r>
      <w:r w:rsidRPr="00803A75">
        <w:rPr>
          <w:sz w:val="20"/>
          <w:szCs w:val="18"/>
          <w:lang w:val="fr-FR"/>
        </w:rPr>
        <w:t>digitalisation</w:t>
      </w:r>
      <w:r w:rsidRPr="00803A75">
        <w:rPr>
          <w:sz w:val="20"/>
          <w:szCs w:val="18"/>
          <w:lang w:val="fr-FR"/>
        </w:rPr>
        <w:t>, le financement de</w:t>
      </w:r>
      <w:r w:rsidRPr="00803A75">
        <w:rPr>
          <w:sz w:val="20"/>
          <w:szCs w:val="18"/>
          <w:lang w:val="fr-FR"/>
        </w:rPr>
        <w:t xml:space="preserve"> l’acquisition de</w:t>
      </w:r>
      <w:r w:rsidRPr="00803A75">
        <w:rPr>
          <w:sz w:val="20"/>
          <w:szCs w:val="18"/>
          <w:lang w:val="fr-FR"/>
        </w:rPr>
        <w:t xml:space="preserve"> petits </w:t>
      </w:r>
      <w:r w:rsidRPr="00803A75">
        <w:rPr>
          <w:sz w:val="20"/>
          <w:szCs w:val="18"/>
          <w:lang w:val="fr-FR"/>
        </w:rPr>
        <w:t>équipements</w:t>
      </w:r>
      <w:r w:rsidRPr="00803A75">
        <w:rPr>
          <w:sz w:val="20"/>
          <w:szCs w:val="18"/>
          <w:lang w:val="fr-FR"/>
        </w:rPr>
        <w:t xml:space="preserve"> et </w:t>
      </w:r>
      <w:r w:rsidRPr="00803A75">
        <w:rPr>
          <w:sz w:val="20"/>
          <w:szCs w:val="18"/>
          <w:lang w:val="fr-FR"/>
        </w:rPr>
        <w:t>d</w:t>
      </w:r>
      <w:r w:rsidRPr="00803A75">
        <w:rPr>
          <w:sz w:val="20"/>
          <w:szCs w:val="18"/>
          <w:lang w:val="fr-FR"/>
        </w:rPr>
        <w:t xml:space="preserve">es chaînes de valeur, tant que ces solutions profitent aux entrepreneurs et aux ménages pauvres. À titre d'exemple, </w:t>
      </w:r>
      <w:r w:rsidRPr="00803A75">
        <w:rPr>
          <w:sz w:val="20"/>
          <w:szCs w:val="18"/>
          <w:lang w:val="fr-FR"/>
        </w:rPr>
        <w:t xml:space="preserve">le </w:t>
      </w:r>
      <w:r w:rsidRPr="00803A75">
        <w:rPr>
          <w:sz w:val="20"/>
          <w:szCs w:val="18"/>
          <w:lang w:val="fr-FR"/>
        </w:rPr>
        <w:t>LMDF travaille avec M-Kopa - une entreprise qui finance l'électricité solaire pour les ménages pauvres vivant au-delà du réseau électrique.</w:t>
      </w:r>
    </w:p>
    <w:p w14:paraId="56ED51A6" w14:textId="369EF093" w:rsidR="005F5C10" w:rsidRPr="00803A75" w:rsidRDefault="005F5C10" w:rsidP="00504A32">
      <w:pPr>
        <w:rPr>
          <w:b/>
          <w:bCs/>
          <w:u w:val="single"/>
          <w:lang w:val="fr-FR"/>
        </w:rPr>
      </w:pPr>
      <w:r w:rsidRPr="00803A75">
        <w:rPr>
          <w:b/>
          <w:bCs/>
          <w:u w:val="single"/>
          <w:lang w:val="fr-FR"/>
        </w:rPr>
        <w:t xml:space="preserve">10 ans de </w:t>
      </w:r>
      <w:r w:rsidR="00803A75" w:rsidRPr="00803A75">
        <w:rPr>
          <w:b/>
          <w:bCs/>
          <w:u w:val="single"/>
          <w:lang w:val="fr-FR"/>
        </w:rPr>
        <w:t>réalisations</w:t>
      </w:r>
    </w:p>
    <w:p w14:paraId="73874E3A" w14:textId="77777777" w:rsidR="005F5C10" w:rsidRPr="00803A75" w:rsidRDefault="005F5C10" w:rsidP="00504A32">
      <w:pPr>
        <w:rPr>
          <w:sz w:val="20"/>
          <w:szCs w:val="20"/>
          <w:lang w:val="fr-FR"/>
        </w:rPr>
      </w:pPr>
      <w:r w:rsidRPr="00803A75">
        <w:rPr>
          <w:sz w:val="20"/>
          <w:szCs w:val="20"/>
          <w:lang w:val="fr-FR"/>
        </w:rPr>
        <w:t xml:space="preserve">LMDF est né en 2010 d'une initiative conjointe </w:t>
      </w:r>
      <w:r w:rsidRPr="00803A75">
        <w:rPr>
          <w:sz w:val="20"/>
          <w:szCs w:val="20"/>
          <w:lang w:val="fr-FR"/>
        </w:rPr>
        <w:t>avec l’ASBL ADA</w:t>
      </w:r>
      <w:r w:rsidRPr="00803A75">
        <w:rPr>
          <w:sz w:val="20"/>
          <w:szCs w:val="20"/>
          <w:lang w:val="fr-FR"/>
        </w:rPr>
        <w:t>, des ministères de la coopération et des finances et de plusieurs banques luxembourgeoises. Les premiers projets dans lesquels le Fonds a investi ont soutenu 13 000 micro-entrepreneurs dans 7 pays via un portefeuille de microfinance de 3,3 millions d'euros.</w:t>
      </w:r>
      <w:r w:rsidRPr="00803A75">
        <w:rPr>
          <w:sz w:val="20"/>
          <w:szCs w:val="20"/>
          <w:lang w:val="fr-FR"/>
        </w:rPr>
        <w:t xml:space="preserve"> </w:t>
      </w:r>
    </w:p>
    <w:p w14:paraId="48EDCC99" w14:textId="3E352804" w:rsidR="005F5C10" w:rsidRPr="00803A75" w:rsidRDefault="005F5C10" w:rsidP="00504A32">
      <w:pPr>
        <w:rPr>
          <w:sz w:val="20"/>
          <w:szCs w:val="20"/>
          <w:lang w:val="fr-FR"/>
        </w:rPr>
      </w:pPr>
      <w:r w:rsidRPr="00803A75">
        <w:rPr>
          <w:sz w:val="20"/>
          <w:szCs w:val="20"/>
          <w:lang w:val="fr-FR"/>
        </w:rPr>
        <w:t>Dix ans plus tard, l'évolution est assez notable. Plus de 230 000 entrepreneurs ont été soutenus</w:t>
      </w:r>
      <w:r w:rsidRPr="00803A75">
        <w:rPr>
          <w:sz w:val="20"/>
          <w:szCs w:val="20"/>
          <w:lang w:val="fr-FR"/>
        </w:rPr>
        <w:t xml:space="preserve"> et</w:t>
      </w:r>
      <w:r w:rsidRPr="00803A75">
        <w:rPr>
          <w:sz w:val="20"/>
          <w:szCs w:val="20"/>
          <w:lang w:val="fr-FR"/>
        </w:rPr>
        <w:t xml:space="preserve"> 79% des entrepreneurs résid</w:t>
      </w:r>
      <w:r w:rsidRPr="00803A75">
        <w:rPr>
          <w:sz w:val="20"/>
          <w:szCs w:val="20"/>
          <w:lang w:val="fr-FR"/>
        </w:rPr>
        <w:t>e</w:t>
      </w:r>
      <w:r w:rsidRPr="00803A75">
        <w:rPr>
          <w:sz w:val="20"/>
          <w:szCs w:val="20"/>
          <w:lang w:val="fr-FR"/>
        </w:rPr>
        <w:t xml:space="preserve">nt dans des pays à revenu faible ou intermédiaire où l'exclusion financière sévit. </w:t>
      </w:r>
      <w:r w:rsidRPr="00803A75">
        <w:rPr>
          <w:sz w:val="20"/>
          <w:szCs w:val="20"/>
          <w:lang w:val="fr-FR"/>
        </w:rPr>
        <w:t>Des</w:t>
      </w:r>
      <w:r w:rsidRPr="00803A75">
        <w:rPr>
          <w:sz w:val="20"/>
          <w:szCs w:val="20"/>
          <w:lang w:val="fr-FR"/>
        </w:rPr>
        <w:t xml:space="preserve"> financement</w:t>
      </w:r>
      <w:r w:rsidRPr="00803A75">
        <w:rPr>
          <w:sz w:val="20"/>
          <w:szCs w:val="20"/>
          <w:lang w:val="fr-FR"/>
        </w:rPr>
        <w:t xml:space="preserve">s d’atteignant </w:t>
      </w:r>
      <w:r w:rsidRPr="00803A75">
        <w:rPr>
          <w:sz w:val="20"/>
          <w:szCs w:val="20"/>
          <w:lang w:val="fr-FR"/>
        </w:rPr>
        <w:t xml:space="preserve">74 millions d'euros </w:t>
      </w:r>
      <w:r w:rsidRPr="00803A75">
        <w:rPr>
          <w:sz w:val="20"/>
          <w:szCs w:val="20"/>
          <w:lang w:val="fr-FR"/>
        </w:rPr>
        <w:t xml:space="preserve">ont </w:t>
      </w:r>
      <w:r w:rsidRPr="00803A75">
        <w:rPr>
          <w:sz w:val="20"/>
          <w:szCs w:val="20"/>
          <w:lang w:val="fr-FR"/>
        </w:rPr>
        <w:t>été accordé</w:t>
      </w:r>
      <w:r w:rsidRPr="00803A75">
        <w:rPr>
          <w:sz w:val="20"/>
          <w:szCs w:val="20"/>
          <w:lang w:val="fr-FR"/>
        </w:rPr>
        <w:t>s</w:t>
      </w:r>
      <w:r w:rsidRPr="00803A75">
        <w:rPr>
          <w:sz w:val="20"/>
          <w:szCs w:val="20"/>
          <w:lang w:val="fr-FR"/>
        </w:rPr>
        <w:t xml:space="preserve"> à plus de 100 institutions de microfinance au cours de l'histoire du Fonds.</w:t>
      </w:r>
    </w:p>
    <w:p w14:paraId="0CF6BFE6" w14:textId="22CA7E4C" w:rsidR="005F5C10" w:rsidRPr="00803A75" w:rsidRDefault="005F5C10" w:rsidP="00504A32">
      <w:pPr>
        <w:rPr>
          <w:sz w:val="20"/>
          <w:szCs w:val="20"/>
          <w:lang w:val="fr-FR"/>
        </w:rPr>
      </w:pPr>
      <w:r w:rsidRPr="00803A75">
        <w:rPr>
          <w:sz w:val="20"/>
          <w:szCs w:val="20"/>
          <w:lang w:val="fr-FR"/>
        </w:rPr>
        <w:t xml:space="preserve">Accompagner les investisseurs privés sur cette voie a été l'un des succès notables du </w:t>
      </w:r>
      <w:r w:rsidRPr="00803A75">
        <w:rPr>
          <w:sz w:val="20"/>
          <w:szCs w:val="20"/>
          <w:lang w:val="fr-FR"/>
        </w:rPr>
        <w:t>LMDF</w:t>
      </w:r>
      <w:r w:rsidRPr="00803A75">
        <w:rPr>
          <w:sz w:val="20"/>
          <w:szCs w:val="20"/>
          <w:lang w:val="fr-FR"/>
        </w:rPr>
        <w:t>. Pour chaque 1 euro d'argent public investi au démarrage de LMDF, le secteur privé luxembourgeois a investi 3 euros supplémentaires</w:t>
      </w:r>
      <w:r w:rsidRPr="00803A75">
        <w:rPr>
          <w:sz w:val="20"/>
          <w:szCs w:val="20"/>
          <w:lang w:val="fr-FR"/>
        </w:rPr>
        <w:t xml:space="preserve"> à ce jour</w:t>
      </w:r>
      <w:r w:rsidRPr="00803A75">
        <w:rPr>
          <w:sz w:val="20"/>
          <w:szCs w:val="20"/>
          <w:lang w:val="fr-FR"/>
        </w:rPr>
        <w:t>. Sur les 30 millions d'euros de financement privé, environ la moitié provient de particuliers, de fondations et d'ONG. L’éventail de partenariats avec les secteurs public et privé a été essentiel au succès du Fonds et LMDF profite du 10e anniversaire pour remercier tous ses partenaires.</w:t>
      </w:r>
    </w:p>
    <w:p w14:paraId="4B180221" w14:textId="76C89081" w:rsidR="009A76CB" w:rsidRPr="00803A75" w:rsidRDefault="005F5C10" w:rsidP="00504A32">
      <w:pPr>
        <w:rPr>
          <w:b/>
          <w:bCs/>
          <w:u w:val="single"/>
          <w:lang w:val="fr-FR"/>
        </w:rPr>
      </w:pPr>
      <w:r w:rsidRPr="00803A75">
        <w:rPr>
          <w:sz w:val="20"/>
          <w:szCs w:val="20"/>
          <w:lang w:val="fr-FR"/>
        </w:rPr>
        <w:t xml:space="preserve">Un autre facteur qui a contribué à la réputation du Fonds est sa forte orientation sociale. LMDF a toujours cherché à travailler avec des institutions bien placées pour travailler avec les plus marginalisés. La collaboration avec les institutions de microfinance émergentes a permis au Fonds de fournir 77% de son financement aux femmes et 60% </w:t>
      </w:r>
      <w:r w:rsidR="00E62A73" w:rsidRPr="00803A75">
        <w:rPr>
          <w:sz w:val="20"/>
          <w:szCs w:val="20"/>
          <w:lang w:val="fr-FR"/>
        </w:rPr>
        <w:t>au personnes issues</w:t>
      </w:r>
      <w:r w:rsidRPr="00803A75">
        <w:rPr>
          <w:sz w:val="20"/>
          <w:szCs w:val="20"/>
          <w:lang w:val="fr-FR"/>
        </w:rPr>
        <w:t xml:space="preserve"> des zones rurales. Le Fonds a également introduit une analyse détaillée de la performance sociale dans tous ses dossiers d'investissement, garantissant que chaque institution avec laquelle il travaille, équilibre la performance sociale et financière. Tous les deux ans, LMDF fournit un rapport d'impact social dédié à ses investisseurs.</w:t>
      </w:r>
      <w:r w:rsidR="00B87D5F" w:rsidRPr="00803A75">
        <w:rPr>
          <w:b/>
          <w:bCs/>
          <w:u w:val="single"/>
          <w:lang w:val="fr-FR"/>
        </w:rPr>
        <w:br/>
      </w:r>
    </w:p>
    <w:p w14:paraId="44800C03" w14:textId="77777777" w:rsidR="009A76CB" w:rsidRPr="00803A75" w:rsidRDefault="009A76CB" w:rsidP="00504A32">
      <w:pPr>
        <w:rPr>
          <w:b/>
          <w:bCs/>
          <w:u w:val="single"/>
          <w:lang w:val="fr-FR"/>
        </w:rPr>
      </w:pPr>
    </w:p>
    <w:p w14:paraId="2DB28422" w14:textId="77777777" w:rsidR="009A76CB" w:rsidRPr="00803A75" w:rsidRDefault="009A76CB" w:rsidP="00504A32">
      <w:pPr>
        <w:rPr>
          <w:b/>
          <w:bCs/>
          <w:u w:val="single"/>
          <w:lang w:val="fr-FR"/>
        </w:rPr>
      </w:pPr>
    </w:p>
    <w:p w14:paraId="3A50488C" w14:textId="512FF615" w:rsidR="00E62A73" w:rsidRPr="00803A75" w:rsidRDefault="00E62A73" w:rsidP="00913D70">
      <w:pPr>
        <w:rPr>
          <w:b/>
          <w:bCs/>
          <w:u w:val="single"/>
          <w:lang w:val="fr-FR"/>
        </w:rPr>
      </w:pPr>
      <w:r w:rsidRPr="00803A75">
        <w:rPr>
          <w:b/>
          <w:bCs/>
          <w:u w:val="single"/>
          <w:lang w:val="fr-FR"/>
        </w:rPr>
        <w:t xml:space="preserve">Où en sera LMDF </w:t>
      </w:r>
      <w:r w:rsidRPr="00803A75">
        <w:rPr>
          <w:b/>
          <w:bCs/>
          <w:u w:val="single"/>
          <w:lang w:val="fr-FR"/>
        </w:rPr>
        <w:t>dans les</w:t>
      </w:r>
      <w:r w:rsidRPr="00803A75">
        <w:rPr>
          <w:b/>
          <w:bCs/>
          <w:u w:val="single"/>
          <w:lang w:val="fr-FR"/>
        </w:rPr>
        <w:t xml:space="preserve"> 10 prochaines </w:t>
      </w:r>
      <w:proofErr w:type="gramStart"/>
      <w:r w:rsidRPr="00803A75">
        <w:rPr>
          <w:b/>
          <w:bCs/>
          <w:u w:val="single"/>
          <w:lang w:val="fr-FR"/>
        </w:rPr>
        <w:t>années?</w:t>
      </w:r>
      <w:proofErr w:type="gramEnd"/>
    </w:p>
    <w:p w14:paraId="22DFBBA4" w14:textId="0370B95B" w:rsidR="001E7EC4" w:rsidRPr="00803A75" w:rsidRDefault="001E7EC4" w:rsidP="00913D70">
      <w:pPr>
        <w:rPr>
          <w:sz w:val="20"/>
          <w:szCs w:val="20"/>
          <w:lang w:val="fr-FR"/>
        </w:rPr>
      </w:pPr>
      <w:r w:rsidRPr="00803A75">
        <w:rPr>
          <w:sz w:val="20"/>
          <w:szCs w:val="20"/>
          <w:lang w:val="fr-FR"/>
        </w:rPr>
        <w:t>Dans 10 ans, les objectifs de développement durable expireront et il est clair que beaucoup de travail est nécessaire pour lutter contre les principaux défis auxquels les sociétés avec lesquelles nous travaillons</w:t>
      </w:r>
      <w:r w:rsidRPr="00803A75">
        <w:rPr>
          <w:sz w:val="20"/>
          <w:szCs w:val="20"/>
          <w:lang w:val="fr-FR"/>
        </w:rPr>
        <w:t xml:space="preserve"> </w:t>
      </w:r>
      <w:r w:rsidRPr="00803A75">
        <w:rPr>
          <w:sz w:val="20"/>
          <w:szCs w:val="20"/>
          <w:lang w:val="fr-FR"/>
        </w:rPr>
        <w:t>sont confrontées</w:t>
      </w:r>
      <w:r w:rsidRPr="00803A75">
        <w:rPr>
          <w:sz w:val="20"/>
          <w:szCs w:val="20"/>
          <w:lang w:val="fr-FR"/>
        </w:rPr>
        <w:t xml:space="preserve"> </w:t>
      </w:r>
      <w:r w:rsidRPr="00803A75">
        <w:rPr>
          <w:sz w:val="20"/>
          <w:szCs w:val="20"/>
          <w:lang w:val="fr-FR"/>
        </w:rPr>
        <w:t>: la pauvreté, l'inégalité d'accès aux opportunités d'une économie mondialisée, l'inclusion financière limitée et les possibilités limitées de travail formel.</w:t>
      </w:r>
    </w:p>
    <w:p w14:paraId="4AD96CFD" w14:textId="1B563ED7" w:rsidR="001E7EC4" w:rsidRPr="00803A75" w:rsidRDefault="001E7EC4" w:rsidP="00504A32">
      <w:pPr>
        <w:rPr>
          <w:sz w:val="20"/>
          <w:szCs w:val="20"/>
          <w:lang w:val="fr-FR"/>
        </w:rPr>
      </w:pPr>
      <w:r w:rsidRPr="00803A75">
        <w:rPr>
          <w:sz w:val="20"/>
          <w:szCs w:val="20"/>
          <w:lang w:val="fr-FR"/>
        </w:rPr>
        <w:t xml:space="preserve">Le concept de la microfinance était de fournir aux micro-entrepreneurs les outils de financement dont ils avaient besoin pour améliorer leur vie.  Dans la pratique, cela signifie une concentration de petits crédits pour financer les besoins à court terme, principalement </w:t>
      </w:r>
      <w:r w:rsidRPr="00803A75">
        <w:rPr>
          <w:sz w:val="20"/>
          <w:szCs w:val="20"/>
          <w:lang w:val="fr-FR"/>
        </w:rPr>
        <w:t>pour les</w:t>
      </w:r>
      <w:r w:rsidRPr="00803A75">
        <w:rPr>
          <w:sz w:val="20"/>
          <w:szCs w:val="20"/>
          <w:lang w:val="fr-FR"/>
        </w:rPr>
        <w:t xml:space="preserve"> personnes vivant dans et autour des villes. </w:t>
      </w:r>
      <w:r w:rsidRPr="00803A75">
        <w:rPr>
          <w:sz w:val="20"/>
          <w:szCs w:val="20"/>
          <w:lang w:val="fr-FR"/>
        </w:rPr>
        <w:t>Même si</w:t>
      </w:r>
      <w:r w:rsidRPr="00803A75">
        <w:rPr>
          <w:sz w:val="20"/>
          <w:szCs w:val="20"/>
          <w:lang w:val="fr-FR"/>
        </w:rPr>
        <w:t xml:space="preserve"> cela a fourni un outil précieux à bien des égards, le secteur devra évoluer pour répondre à un ensemble plus large de besoins financiers des pauvres.</w:t>
      </w:r>
    </w:p>
    <w:p w14:paraId="4E666382" w14:textId="0F5B3209" w:rsidR="001E7EC4" w:rsidRPr="00803A75" w:rsidRDefault="001E7EC4" w:rsidP="009A0A65">
      <w:pPr>
        <w:rPr>
          <w:sz w:val="20"/>
          <w:szCs w:val="20"/>
          <w:lang w:val="fr-FR"/>
        </w:rPr>
      </w:pPr>
      <w:r w:rsidRPr="00803A75">
        <w:rPr>
          <w:sz w:val="20"/>
          <w:szCs w:val="20"/>
          <w:lang w:val="fr-FR"/>
        </w:rPr>
        <w:t>Alors qu</w:t>
      </w:r>
      <w:r w:rsidRPr="00803A75">
        <w:rPr>
          <w:sz w:val="20"/>
          <w:szCs w:val="20"/>
          <w:lang w:val="fr-FR"/>
        </w:rPr>
        <w:t>e le Fonds</w:t>
      </w:r>
      <w:r w:rsidRPr="00803A75">
        <w:rPr>
          <w:sz w:val="20"/>
          <w:szCs w:val="20"/>
          <w:lang w:val="fr-FR"/>
        </w:rPr>
        <w:t xml:space="preserve"> fête son 10e anniversaire, LMDF</w:t>
      </w:r>
      <w:r w:rsidRPr="00803A75">
        <w:rPr>
          <w:sz w:val="20"/>
          <w:szCs w:val="20"/>
          <w:lang w:val="fr-FR"/>
        </w:rPr>
        <w:t>,</w:t>
      </w:r>
      <w:r w:rsidRPr="00803A75">
        <w:rPr>
          <w:sz w:val="20"/>
          <w:szCs w:val="20"/>
          <w:lang w:val="fr-FR"/>
        </w:rPr>
        <w:t xml:space="preserve"> avec ADA</w:t>
      </w:r>
      <w:r w:rsidRPr="00803A75">
        <w:rPr>
          <w:sz w:val="20"/>
          <w:szCs w:val="20"/>
          <w:lang w:val="fr-FR"/>
        </w:rPr>
        <w:t>,</w:t>
      </w:r>
      <w:r w:rsidRPr="00803A75">
        <w:rPr>
          <w:sz w:val="20"/>
          <w:szCs w:val="20"/>
          <w:lang w:val="fr-FR"/>
        </w:rPr>
        <w:t xml:space="preserve"> se lance</w:t>
      </w:r>
      <w:r w:rsidRPr="00803A75">
        <w:rPr>
          <w:sz w:val="20"/>
          <w:szCs w:val="20"/>
          <w:lang w:val="fr-FR"/>
        </w:rPr>
        <w:t>nt</w:t>
      </w:r>
      <w:r w:rsidRPr="00803A75">
        <w:rPr>
          <w:sz w:val="20"/>
          <w:szCs w:val="20"/>
          <w:lang w:val="fr-FR"/>
        </w:rPr>
        <w:t xml:space="preserve"> dans une voie d'innovation sur la manière d'atteindre ceux qui ne bénéficient pas de la microfinance sous sa forme actuelle. Les domaines d'innovation identifiés sont le financement de petits </w:t>
      </w:r>
      <w:r w:rsidRPr="00803A75">
        <w:rPr>
          <w:sz w:val="20"/>
          <w:szCs w:val="20"/>
          <w:lang w:val="fr-FR"/>
        </w:rPr>
        <w:t>équipements</w:t>
      </w:r>
      <w:r w:rsidRPr="00803A75">
        <w:rPr>
          <w:sz w:val="20"/>
          <w:szCs w:val="20"/>
          <w:lang w:val="fr-FR"/>
        </w:rPr>
        <w:t xml:space="preserve"> (</w:t>
      </w:r>
      <w:r w:rsidRPr="00803A75">
        <w:rPr>
          <w:sz w:val="20"/>
          <w:szCs w:val="20"/>
          <w:lang w:val="fr-FR"/>
        </w:rPr>
        <w:t>exemple : des panneaux</w:t>
      </w:r>
      <w:r w:rsidRPr="00803A75">
        <w:rPr>
          <w:sz w:val="20"/>
          <w:szCs w:val="20"/>
          <w:lang w:val="fr-FR"/>
        </w:rPr>
        <w:t xml:space="preserve"> solaire</w:t>
      </w:r>
      <w:r w:rsidRPr="00803A75">
        <w:rPr>
          <w:sz w:val="20"/>
          <w:szCs w:val="20"/>
          <w:lang w:val="fr-FR"/>
        </w:rPr>
        <w:t>s</w:t>
      </w:r>
      <w:r w:rsidRPr="00803A75">
        <w:rPr>
          <w:sz w:val="20"/>
          <w:szCs w:val="20"/>
          <w:lang w:val="fr-FR"/>
        </w:rPr>
        <w:t xml:space="preserve"> ou </w:t>
      </w:r>
      <w:r w:rsidRPr="00803A75">
        <w:rPr>
          <w:sz w:val="20"/>
          <w:szCs w:val="20"/>
          <w:lang w:val="fr-FR"/>
        </w:rPr>
        <w:t>des</w:t>
      </w:r>
      <w:r w:rsidRPr="00803A75">
        <w:rPr>
          <w:sz w:val="20"/>
          <w:szCs w:val="20"/>
          <w:lang w:val="fr-FR"/>
        </w:rPr>
        <w:t xml:space="preserve"> moto</w:t>
      </w:r>
      <w:r w:rsidRPr="00803A75">
        <w:rPr>
          <w:sz w:val="20"/>
          <w:szCs w:val="20"/>
          <w:lang w:val="fr-FR"/>
        </w:rPr>
        <w:t>s</w:t>
      </w:r>
      <w:r w:rsidRPr="00803A75">
        <w:rPr>
          <w:sz w:val="20"/>
          <w:szCs w:val="20"/>
          <w:lang w:val="fr-FR"/>
        </w:rPr>
        <w:t>), le financement de la chaîne de valeur (par exemple, aider les petits agriculteurs à produire de meilleure qualité et accéder à de meilleurs marchés) et évaluer comment le financement peut élargir l'accès à une éducation de qualité.</w:t>
      </w:r>
    </w:p>
    <w:p w14:paraId="45D277A3" w14:textId="4B4287BE" w:rsidR="00A03A6F" w:rsidRPr="00803A75" w:rsidRDefault="009A0A65" w:rsidP="009A0A65">
      <w:pPr>
        <w:rPr>
          <w:b/>
          <w:bCs/>
          <w:u w:val="single"/>
          <w:lang w:val="fr-FR"/>
        </w:rPr>
      </w:pPr>
      <w:r w:rsidRPr="00803A75">
        <w:rPr>
          <w:b/>
          <w:bCs/>
          <w:u w:val="single"/>
          <w:lang w:val="fr-FR"/>
        </w:rPr>
        <w:br/>
      </w:r>
      <w:r w:rsidR="001E7EC4" w:rsidRPr="00803A75">
        <w:rPr>
          <w:b/>
          <w:bCs/>
          <w:u w:val="single"/>
          <w:lang w:val="fr-FR"/>
        </w:rPr>
        <w:t>E</w:t>
      </w:r>
      <w:r w:rsidR="001E7EC4" w:rsidRPr="00803A75">
        <w:rPr>
          <w:b/>
          <w:bCs/>
          <w:u w:val="single"/>
          <w:lang w:val="fr-FR"/>
        </w:rPr>
        <w:t>vènements à venir</w:t>
      </w:r>
    </w:p>
    <w:p w14:paraId="1EA0E4CB" w14:textId="573C3C0C" w:rsidR="00130076" w:rsidRPr="00803A75" w:rsidRDefault="001E7EC4" w:rsidP="009A0A65">
      <w:pPr>
        <w:rPr>
          <w:sz w:val="20"/>
          <w:szCs w:val="20"/>
          <w:lang w:val="fr-FR"/>
        </w:rPr>
      </w:pPr>
      <w:r w:rsidRPr="00803A75">
        <w:rPr>
          <w:sz w:val="20"/>
          <w:szCs w:val="20"/>
          <w:lang w:val="fr-FR"/>
        </w:rPr>
        <w:t>Pour fêter son anniversaire et son prochain investissement au Kenya, LMDF a prévu une série d'événements au cours du mois de mai</w:t>
      </w:r>
      <w:r w:rsidRPr="00803A75">
        <w:rPr>
          <w:sz w:val="20"/>
          <w:szCs w:val="20"/>
          <w:lang w:val="fr-FR"/>
        </w:rPr>
        <w:t xml:space="preserve"> 2020</w:t>
      </w:r>
      <w:r w:rsidRPr="00803A75">
        <w:rPr>
          <w:sz w:val="20"/>
          <w:szCs w:val="20"/>
          <w:lang w:val="fr-FR"/>
        </w:rPr>
        <w:t>. Ces événements porteront sur les réalisations du Fonds et l’évolution future de l’industrie de la microfinance. Nous espérons avoir un</w:t>
      </w:r>
      <w:r w:rsidRPr="00803A75">
        <w:rPr>
          <w:sz w:val="20"/>
          <w:szCs w:val="20"/>
          <w:lang w:val="fr-FR"/>
        </w:rPr>
        <w:t>e</w:t>
      </w:r>
      <w:r w:rsidRPr="00803A75">
        <w:rPr>
          <w:sz w:val="20"/>
          <w:szCs w:val="20"/>
          <w:lang w:val="fr-FR"/>
        </w:rPr>
        <w:t xml:space="preserve"> invité</w:t>
      </w:r>
      <w:r w:rsidRPr="00803A75">
        <w:rPr>
          <w:sz w:val="20"/>
          <w:szCs w:val="20"/>
          <w:lang w:val="fr-FR"/>
        </w:rPr>
        <w:t>e</w:t>
      </w:r>
      <w:r w:rsidRPr="00803A75">
        <w:rPr>
          <w:sz w:val="20"/>
          <w:szCs w:val="20"/>
          <w:lang w:val="fr-FR"/>
        </w:rPr>
        <w:t xml:space="preserve"> spécial</w:t>
      </w:r>
      <w:r w:rsidRPr="00803A75">
        <w:rPr>
          <w:sz w:val="20"/>
          <w:szCs w:val="20"/>
          <w:lang w:val="fr-FR"/>
        </w:rPr>
        <w:t>e</w:t>
      </w:r>
      <w:r w:rsidRPr="00803A75">
        <w:rPr>
          <w:sz w:val="20"/>
          <w:szCs w:val="20"/>
          <w:lang w:val="fr-FR"/>
        </w:rPr>
        <w:t xml:space="preserve"> d'une institution de microfinance kenyane qui pourra expliquer ces tendances et les développements de l'industrie de la microfinance. Ces événements seront publiés sur le site Internet (www.lmdf.lu) et sur nos réseaux sociaux.</w:t>
      </w:r>
    </w:p>
    <w:p w14:paraId="22EBB56E" w14:textId="77777777" w:rsidR="001E7EC4" w:rsidRPr="00803A75" w:rsidRDefault="001E7EC4" w:rsidP="009A0A65">
      <w:pPr>
        <w:rPr>
          <w:b/>
          <w:bCs/>
          <w:u w:val="single"/>
          <w:lang w:val="fr-FR"/>
        </w:rPr>
      </w:pPr>
    </w:p>
    <w:p w14:paraId="5B580CBA" w14:textId="4A14C6EF" w:rsidR="00130076" w:rsidRPr="00803A75" w:rsidRDefault="00EE2380" w:rsidP="009A0A65">
      <w:pPr>
        <w:rPr>
          <w:b/>
          <w:bCs/>
          <w:u w:val="single"/>
          <w:lang w:val="fr-FR"/>
        </w:rPr>
      </w:pPr>
      <w:r w:rsidRPr="00803A75">
        <w:rPr>
          <w:b/>
          <w:bCs/>
          <w:u w:val="single"/>
          <w:lang w:val="fr-FR"/>
        </w:rPr>
        <w:t>Citations</w:t>
      </w:r>
    </w:p>
    <w:p w14:paraId="659FA5B6" w14:textId="7902AF24" w:rsidR="00130076" w:rsidRPr="00803A75" w:rsidRDefault="00637539" w:rsidP="009A0A65">
      <w:pPr>
        <w:rPr>
          <w:b/>
          <w:bCs/>
          <w:u w:val="single"/>
          <w:lang w:val="fr-FR"/>
        </w:rPr>
      </w:pPr>
      <w:r w:rsidRPr="00803A75">
        <w:rPr>
          <w:b/>
          <w:bCs/>
          <w:u w:val="single"/>
          <w:lang w:val="fr-FR"/>
        </w:rPr>
        <w:t>R</w:t>
      </w:r>
      <w:r w:rsidR="00130076" w:rsidRPr="00803A75">
        <w:rPr>
          <w:b/>
          <w:bCs/>
          <w:u w:val="single"/>
          <w:lang w:val="fr-FR"/>
        </w:rPr>
        <w:t>aymond S</w:t>
      </w:r>
      <w:r w:rsidR="00EF1F82" w:rsidRPr="00803A75">
        <w:rPr>
          <w:b/>
          <w:bCs/>
          <w:u w:val="single"/>
          <w:lang w:val="fr-FR"/>
        </w:rPr>
        <w:t>c</w:t>
      </w:r>
      <w:r w:rsidR="00130076" w:rsidRPr="00803A75">
        <w:rPr>
          <w:b/>
          <w:bCs/>
          <w:u w:val="single"/>
          <w:lang w:val="fr-FR"/>
        </w:rPr>
        <w:t>hadeck</w:t>
      </w:r>
      <w:r w:rsidR="00B87D5F" w:rsidRPr="00803A75">
        <w:rPr>
          <w:b/>
          <w:bCs/>
          <w:u w:val="single"/>
          <w:lang w:val="fr-FR"/>
        </w:rPr>
        <w:t xml:space="preserve">, </w:t>
      </w:r>
      <w:r w:rsidR="00EE2380" w:rsidRPr="00803A75">
        <w:rPr>
          <w:b/>
          <w:bCs/>
          <w:u w:val="single"/>
          <w:lang w:val="fr-FR"/>
        </w:rPr>
        <w:t>Président</w:t>
      </w:r>
    </w:p>
    <w:p w14:paraId="0EB0938A" w14:textId="3109908A" w:rsidR="00637539" w:rsidRPr="00803A75" w:rsidRDefault="00EE2380" w:rsidP="009A0A65">
      <w:pPr>
        <w:rPr>
          <w:b/>
          <w:bCs/>
          <w:sz w:val="22"/>
          <w:szCs w:val="20"/>
          <w:u w:val="single"/>
          <w:lang w:val="fr-FR"/>
        </w:rPr>
      </w:pPr>
      <w:r w:rsidRPr="00803A75">
        <w:rPr>
          <w:sz w:val="20"/>
          <w:szCs w:val="20"/>
          <w:lang w:val="fr-FR"/>
        </w:rPr>
        <w:t>«</w:t>
      </w:r>
      <w:r w:rsidR="00803A75">
        <w:rPr>
          <w:sz w:val="20"/>
          <w:szCs w:val="20"/>
          <w:lang w:val="fr-FR"/>
        </w:rPr>
        <w:t xml:space="preserve"> </w:t>
      </w:r>
      <w:r w:rsidRPr="00803A75">
        <w:rPr>
          <w:sz w:val="20"/>
          <w:szCs w:val="20"/>
          <w:lang w:val="fr-FR"/>
        </w:rPr>
        <w:t>La microfinance a entamé son parcours pour devenir un acteur majeur de l'investissement de détail car de plus en plus de particuliers</w:t>
      </w:r>
      <w:r w:rsidRPr="00803A75">
        <w:rPr>
          <w:sz w:val="20"/>
          <w:szCs w:val="20"/>
          <w:lang w:val="fr-FR"/>
        </w:rPr>
        <w:t>,</w:t>
      </w:r>
      <w:r w:rsidRPr="00803A75">
        <w:rPr>
          <w:sz w:val="20"/>
          <w:szCs w:val="20"/>
          <w:lang w:val="fr-FR"/>
        </w:rPr>
        <w:t xml:space="preserve"> et par exemple 67% des milléniaux</w:t>
      </w:r>
      <w:r w:rsidRPr="00803A75">
        <w:rPr>
          <w:sz w:val="20"/>
          <w:szCs w:val="20"/>
          <w:lang w:val="fr-FR"/>
        </w:rPr>
        <w:t>,</w:t>
      </w:r>
      <w:r w:rsidRPr="00803A75">
        <w:rPr>
          <w:sz w:val="20"/>
          <w:szCs w:val="20"/>
          <w:lang w:val="fr-FR"/>
        </w:rPr>
        <w:t xml:space="preserve"> croient que leurs décisions d'investissement sont un moyen d'exprimer leurs valeurs sociales, politiques et </w:t>
      </w:r>
      <w:r w:rsidR="00803A75" w:rsidRPr="00803A75">
        <w:rPr>
          <w:sz w:val="20"/>
          <w:szCs w:val="20"/>
          <w:lang w:val="fr-FR"/>
        </w:rPr>
        <w:t>environnementales ! »</w:t>
      </w:r>
    </w:p>
    <w:p w14:paraId="6C9EA6C5" w14:textId="77777777" w:rsidR="00803A75" w:rsidRDefault="00803A75" w:rsidP="009A0A65">
      <w:pPr>
        <w:rPr>
          <w:b/>
          <w:bCs/>
          <w:sz w:val="22"/>
          <w:szCs w:val="20"/>
          <w:u w:val="single"/>
          <w:lang w:val="fr-FR"/>
        </w:rPr>
      </w:pPr>
    </w:p>
    <w:p w14:paraId="1B856654" w14:textId="56FABFD8" w:rsidR="00130076" w:rsidRPr="00803A75" w:rsidRDefault="00130076" w:rsidP="009A0A65">
      <w:pPr>
        <w:rPr>
          <w:b/>
          <w:bCs/>
          <w:sz w:val="22"/>
          <w:szCs w:val="20"/>
          <w:u w:val="single"/>
          <w:lang w:val="fr-FR"/>
        </w:rPr>
      </w:pPr>
      <w:r w:rsidRPr="00803A75">
        <w:rPr>
          <w:b/>
          <w:bCs/>
          <w:sz w:val="22"/>
          <w:szCs w:val="20"/>
          <w:u w:val="single"/>
          <w:lang w:val="fr-FR"/>
        </w:rPr>
        <w:t>Kaspar Wansleben</w:t>
      </w:r>
      <w:r w:rsidR="00B87D5F" w:rsidRPr="00803A75">
        <w:rPr>
          <w:b/>
          <w:bCs/>
          <w:sz w:val="22"/>
          <w:szCs w:val="20"/>
          <w:u w:val="single"/>
          <w:lang w:val="fr-FR"/>
        </w:rPr>
        <w:t xml:space="preserve">, </w:t>
      </w:r>
      <w:r w:rsidR="00EE2380" w:rsidRPr="00803A75">
        <w:rPr>
          <w:b/>
          <w:bCs/>
          <w:sz w:val="22"/>
          <w:szCs w:val="20"/>
          <w:u w:val="single"/>
          <w:lang w:val="fr-FR"/>
        </w:rPr>
        <w:t>Directeur exécutif du</w:t>
      </w:r>
      <w:r w:rsidR="00B87D5F" w:rsidRPr="00803A75">
        <w:rPr>
          <w:b/>
          <w:bCs/>
          <w:sz w:val="22"/>
          <w:szCs w:val="20"/>
          <w:u w:val="single"/>
          <w:lang w:val="fr-FR"/>
        </w:rPr>
        <w:t xml:space="preserve"> LMDF</w:t>
      </w:r>
    </w:p>
    <w:p w14:paraId="3338E2ED" w14:textId="5AF192AD" w:rsidR="00130076" w:rsidRPr="00DB2E1B" w:rsidRDefault="00DB2E1B" w:rsidP="009A0A65">
      <w:pPr>
        <w:rPr>
          <w:sz w:val="20"/>
          <w:szCs w:val="20"/>
          <w:lang w:val="fr-FR"/>
        </w:rPr>
      </w:pPr>
      <w:r w:rsidRPr="00DB2E1B">
        <w:rPr>
          <w:sz w:val="20"/>
          <w:szCs w:val="20"/>
          <w:lang w:val="fr-FR"/>
        </w:rPr>
        <w:t>« </w:t>
      </w:r>
      <w:r w:rsidRPr="00DB2E1B">
        <w:rPr>
          <w:sz w:val="20"/>
          <w:szCs w:val="20"/>
          <w:lang w:val="fr-FR"/>
        </w:rPr>
        <w:t xml:space="preserve">Issu d'un partenariat unique entre l'État luxembourgeois, le secteur financier et la société civile, </w:t>
      </w:r>
      <w:r>
        <w:rPr>
          <w:sz w:val="20"/>
          <w:szCs w:val="20"/>
          <w:lang w:val="fr-FR"/>
        </w:rPr>
        <w:t xml:space="preserve">le </w:t>
      </w:r>
      <w:r w:rsidRPr="00DB2E1B">
        <w:rPr>
          <w:sz w:val="20"/>
          <w:szCs w:val="20"/>
          <w:lang w:val="fr-FR"/>
        </w:rPr>
        <w:t>LMDF a joué un rôle précieux dans le développement d'un secteur de la microfinance à vocation plus sociale au cours des 10 dernières années. Il est maintenant temps pour nous de regarder en avant et d'élargir la notion de finance sociale dans les pays en développement</w:t>
      </w:r>
      <w:r>
        <w:rPr>
          <w:sz w:val="20"/>
          <w:szCs w:val="20"/>
          <w:lang w:val="fr-FR"/>
        </w:rPr>
        <w:t>,</w:t>
      </w:r>
      <w:r w:rsidRPr="00DB2E1B">
        <w:rPr>
          <w:sz w:val="20"/>
          <w:szCs w:val="20"/>
          <w:lang w:val="fr-FR"/>
        </w:rPr>
        <w:t xml:space="preserve"> tout en offrant à beaucoup plus de citoyens luxembourgeois la possibilité d'un investissemen</w:t>
      </w:r>
      <w:bookmarkStart w:id="0" w:name="_GoBack"/>
      <w:bookmarkEnd w:id="0"/>
      <w:r w:rsidRPr="00DB2E1B">
        <w:rPr>
          <w:sz w:val="20"/>
          <w:szCs w:val="20"/>
          <w:lang w:val="fr-FR"/>
        </w:rPr>
        <w:t>t stable et à impact</w:t>
      </w:r>
      <w:r w:rsidRPr="00DB2E1B">
        <w:rPr>
          <w:sz w:val="20"/>
          <w:szCs w:val="20"/>
          <w:lang w:val="fr-FR"/>
        </w:rPr>
        <w:t xml:space="preserve"> </w:t>
      </w:r>
      <w:r w:rsidRPr="00DB2E1B">
        <w:rPr>
          <w:sz w:val="20"/>
          <w:szCs w:val="20"/>
          <w:lang w:val="fr-FR"/>
        </w:rPr>
        <w:t>fort.</w:t>
      </w:r>
      <w:r w:rsidRPr="00DB2E1B">
        <w:rPr>
          <w:sz w:val="20"/>
          <w:szCs w:val="20"/>
          <w:lang w:val="fr-FR"/>
        </w:rPr>
        <w:t> »</w:t>
      </w:r>
    </w:p>
    <w:p w14:paraId="593465DD" w14:textId="77777777" w:rsidR="00DB2E1B" w:rsidRDefault="00DB2E1B" w:rsidP="009A0A65">
      <w:pPr>
        <w:rPr>
          <w:b/>
          <w:bCs/>
          <w:u w:val="single"/>
          <w:lang w:val="fr-FR"/>
        </w:rPr>
      </w:pPr>
    </w:p>
    <w:p w14:paraId="5DE69D0F" w14:textId="7B67D3C7" w:rsidR="00130076" w:rsidRPr="00803A75" w:rsidRDefault="00EE2380" w:rsidP="009A0A65">
      <w:pPr>
        <w:rPr>
          <w:b/>
          <w:bCs/>
          <w:u w:val="single"/>
          <w:lang w:val="fr-FR"/>
        </w:rPr>
      </w:pPr>
      <w:r w:rsidRPr="00803A75">
        <w:rPr>
          <w:b/>
          <w:bCs/>
          <w:u w:val="single"/>
          <w:lang w:val="fr-FR"/>
        </w:rPr>
        <w:t>Chiffres clés</w:t>
      </w:r>
    </w:p>
    <w:p w14:paraId="2FC38A9B" w14:textId="77777777" w:rsidR="00182E1B" w:rsidRPr="00803A75" w:rsidRDefault="00182E1B" w:rsidP="009A0A65">
      <w:pPr>
        <w:rPr>
          <w:sz w:val="22"/>
          <w:szCs w:val="20"/>
          <w:lang w:val="fr-FR"/>
        </w:rPr>
      </w:pPr>
    </w:p>
    <w:p w14:paraId="34D38B57" w14:textId="2C3DF928" w:rsidR="00182E1B" w:rsidRPr="00803A75" w:rsidRDefault="00EE2380" w:rsidP="009A0A65">
      <w:pPr>
        <w:rPr>
          <w:b/>
          <w:bCs/>
          <w:sz w:val="22"/>
          <w:szCs w:val="20"/>
          <w:lang w:val="fr-FR"/>
        </w:rPr>
      </w:pPr>
      <w:r w:rsidRPr="00803A75">
        <w:rPr>
          <w:b/>
          <w:bCs/>
          <w:sz w:val="22"/>
          <w:szCs w:val="20"/>
          <w:lang w:val="fr-FR"/>
        </w:rPr>
        <w:t>Réalisations</w:t>
      </w:r>
    </w:p>
    <w:tbl>
      <w:tblPr>
        <w:tblStyle w:val="TableGrid"/>
        <w:tblpPr w:leftFromText="180" w:rightFromText="180" w:vertAnchor="text" w:horzAnchor="margin" w:tblpY="-14"/>
        <w:tblW w:w="0" w:type="auto"/>
        <w:tblLook w:val="04A0" w:firstRow="1" w:lastRow="0" w:firstColumn="1" w:lastColumn="0" w:noHBand="0" w:noVBand="1"/>
      </w:tblPr>
      <w:tblGrid>
        <w:gridCol w:w="4508"/>
        <w:gridCol w:w="4508"/>
      </w:tblGrid>
      <w:tr w:rsidR="00182E1B" w:rsidRPr="00803A75" w14:paraId="72140D61" w14:textId="77777777" w:rsidTr="00182E1B">
        <w:tc>
          <w:tcPr>
            <w:tcW w:w="4508" w:type="dxa"/>
          </w:tcPr>
          <w:p w14:paraId="3E129A0B" w14:textId="51123969" w:rsidR="00182E1B" w:rsidRPr="00803A75" w:rsidRDefault="00182E1B" w:rsidP="00182E1B">
            <w:pPr>
              <w:rPr>
                <w:sz w:val="20"/>
                <w:szCs w:val="20"/>
                <w:lang w:val="fr-FR"/>
              </w:rPr>
            </w:pPr>
            <w:r w:rsidRPr="00803A75">
              <w:rPr>
                <w:sz w:val="20"/>
                <w:szCs w:val="20"/>
                <w:lang w:val="fr-FR"/>
              </w:rPr>
              <w:t xml:space="preserve">Micro-entrepreneurs </w:t>
            </w:r>
            <w:r w:rsidR="00EE2380" w:rsidRPr="00803A75">
              <w:rPr>
                <w:sz w:val="20"/>
                <w:szCs w:val="20"/>
                <w:lang w:val="fr-FR"/>
              </w:rPr>
              <w:t>financés depuis création</w:t>
            </w:r>
          </w:p>
        </w:tc>
        <w:tc>
          <w:tcPr>
            <w:tcW w:w="4508" w:type="dxa"/>
          </w:tcPr>
          <w:p w14:paraId="6AAC610D" w14:textId="53F14469" w:rsidR="00182E1B" w:rsidRPr="00803A75" w:rsidRDefault="00182E1B" w:rsidP="00182E1B">
            <w:pPr>
              <w:rPr>
                <w:sz w:val="20"/>
                <w:szCs w:val="20"/>
                <w:lang w:val="fr-FR"/>
              </w:rPr>
            </w:pPr>
            <w:r w:rsidRPr="00803A75">
              <w:rPr>
                <w:sz w:val="20"/>
                <w:szCs w:val="20"/>
                <w:lang w:val="fr-FR"/>
              </w:rPr>
              <w:t>234</w:t>
            </w:r>
            <w:r w:rsidR="00EE2380" w:rsidRPr="00803A75">
              <w:rPr>
                <w:sz w:val="20"/>
                <w:szCs w:val="20"/>
                <w:lang w:val="fr-FR"/>
              </w:rPr>
              <w:t xml:space="preserve"> </w:t>
            </w:r>
            <w:r w:rsidRPr="00803A75">
              <w:rPr>
                <w:sz w:val="20"/>
                <w:szCs w:val="20"/>
                <w:lang w:val="fr-FR"/>
              </w:rPr>
              <w:t>612</w:t>
            </w:r>
          </w:p>
        </w:tc>
      </w:tr>
      <w:tr w:rsidR="00182E1B" w:rsidRPr="00803A75" w14:paraId="01F0C5A1" w14:textId="77777777" w:rsidTr="00182E1B">
        <w:tc>
          <w:tcPr>
            <w:tcW w:w="4508" w:type="dxa"/>
          </w:tcPr>
          <w:p w14:paraId="06524464" w14:textId="53BB602D" w:rsidR="00182E1B" w:rsidRPr="00803A75" w:rsidRDefault="00EE2380" w:rsidP="00182E1B">
            <w:pPr>
              <w:rPr>
                <w:sz w:val="20"/>
                <w:szCs w:val="20"/>
                <w:lang w:val="fr-FR"/>
              </w:rPr>
            </w:pPr>
            <w:r w:rsidRPr="00803A75">
              <w:rPr>
                <w:sz w:val="20"/>
                <w:szCs w:val="20"/>
                <w:lang w:val="fr-FR"/>
              </w:rPr>
              <w:t>Prêts déboursés depuis création</w:t>
            </w:r>
          </w:p>
        </w:tc>
        <w:tc>
          <w:tcPr>
            <w:tcW w:w="4508" w:type="dxa"/>
          </w:tcPr>
          <w:p w14:paraId="1D167770" w14:textId="5F554A47" w:rsidR="00182E1B" w:rsidRPr="00803A75" w:rsidRDefault="00182E1B" w:rsidP="00182E1B">
            <w:pPr>
              <w:rPr>
                <w:sz w:val="20"/>
                <w:szCs w:val="20"/>
                <w:lang w:val="fr-FR"/>
              </w:rPr>
            </w:pPr>
            <w:r w:rsidRPr="00803A75">
              <w:rPr>
                <w:sz w:val="20"/>
                <w:szCs w:val="20"/>
                <w:lang w:val="fr-FR"/>
              </w:rPr>
              <w:t>169</w:t>
            </w:r>
          </w:p>
        </w:tc>
      </w:tr>
      <w:tr w:rsidR="00182E1B" w:rsidRPr="00803A75" w14:paraId="5B202D8C" w14:textId="77777777" w:rsidTr="00182E1B">
        <w:tc>
          <w:tcPr>
            <w:tcW w:w="4508" w:type="dxa"/>
          </w:tcPr>
          <w:p w14:paraId="0CDA5EF9" w14:textId="6D94033A" w:rsidR="00182E1B" w:rsidRPr="00803A75" w:rsidRDefault="00EE2380" w:rsidP="00182E1B">
            <w:pPr>
              <w:rPr>
                <w:sz w:val="20"/>
                <w:szCs w:val="20"/>
                <w:lang w:val="fr-FR"/>
              </w:rPr>
            </w:pPr>
            <w:r w:rsidRPr="00803A75">
              <w:rPr>
                <w:sz w:val="20"/>
                <w:szCs w:val="20"/>
                <w:lang w:val="fr-FR"/>
              </w:rPr>
              <w:t xml:space="preserve">Pays dans lesquels LMDF </w:t>
            </w:r>
            <w:proofErr w:type="spellStart"/>
            <w:r w:rsidRPr="00803A75">
              <w:rPr>
                <w:sz w:val="20"/>
                <w:szCs w:val="20"/>
                <w:lang w:val="fr-FR"/>
              </w:rPr>
              <w:t>à</w:t>
            </w:r>
            <w:proofErr w:type="spellEnd"/>
            <w:r w:rsidRPr="00803A75">
              <w:rPr>
                <w:sz w:val="20"/>
                <w:szCs w:val="20"/>
                <w:lang w:val="fr-FR"/>
              </w:rPr>
              <w:t xml:space="preserve"> travaillé</w:t>
            </w:r>
          </w:p>
        </w:tc>
        <w:tc>
          <w:tcPr>
            <w:tcW w:w="4508" w:type="dxa"/>
          </w:tcPr>
          <w:p w14:paraId="307A33C1" w14:textId="1B370A38" w:rsidR="00182E1B" w:rsidRPr="00803A75" w:rsidRDefault="00182E1B" w:rsidP="00182E1B">
            <w:pPr>
              <w:rPr>
                <w:sz w:val="20"/>
                <w:szCs w:val="20"/>
                <w:lang w:val="fr-FR"/>
              </w:rPr>
            </w:pPr>
            <w:r w:rsidRPr="00803A75">
              <w:rPr>
                <w:sz w:val="20"/>
                <w:szCs w:val="20"/>
                <w:lang w:val="fr-FR"/>
              </w:rPr>
              <w:t>35</w:t>
            </w:r>
          </w:p>
        </w:tc>
      </w:tr>
    </w:tbl>
    <w:p w14:paraId="6EFFC44F" w14:textId="651AEDC1" w:rsidR="00182E1B" w:rsidRPr="00803A75" w:rsidRDefault="00182E1B" w:rsidP="009A0A65">
      <w:pPr>
        <w:rPr>
          <w:sz w:val="22"/>
          <w:szCs w:val="20"/>
          <w:lang w:val="fr-FR"/>
        </w:rPr>
      </w:pPr>
    </w:p>
    <w:p w14:paraId="24C1B71D" w14:textId="74433AF2" w:rsidR="00EF1F82" w:rsidRPr="00803A75" w:rsidRDefault="00EE2380" w:rsidP="009A0A65">
      <w:pPr>
        <w:rPr>
          <w:b/>
          <w:bCs/>
          <w:sz w:val="22"/>
          <w:szCs w:val="20"/>
          <w:lang w:val="fr-FR"/>
        </w:rPr>
      </w:pPr>
      <w:r w:rsidRPr="00803A75">
        <w:rPr>
          <w:b/>
          <w:bCs/>
          <w:sz w:val="22"/>
          <w:szCs w:val="20"/>
          <w:lang w:val="fr-FR"/>
        </w:rPr>
        <w:t>Portefeuille actuel</w:t>
      </w:r>
    </w:p>
    <w:tbl>
      <w:tblPr>
        <w:tblStyle w:val="TableGrid"/>
        <w:tblpPr w:leftFromText="180" w:rightFromText="180" w:vertAnchor="text" w:horzAnchor="margin" w:tblpY="-14"/>
        <w:tblW w:w="0" w:type="auto"/>
        <w:tblLook w:val="04A0" w:firstRow="1" w:lastRow="0" w:firstColumn="1" w:lastColumn="0" w:noHBand="0" w:noVBand="1"/>
      </w:tblPr>
      <w:tblGrid>
        <w:gridCol w:w="4508"/>
        <w:gridCol w:w="4508"/>
      </w:tblGrid>
      <w:tr w:rsidR="00182E1B" w:rsidRPr="00803A75" w14:paraId="5CB0C035" w14:textId="77777777" w:rsidTr="007F5E04">
        <w:tc>
          <w:tcPr>
            <w:tcW w:w="4508" w:type="dxa"/>
          </w:tcPr>
          <w:p w14:paraId="64DD0E1E" w14:textId="6EC99D6E" w:rsidR="00182E1B" w:rsidRPr="00803A75" w:rsidRDefault="00EE2380" w:rsidP="007F5E04">
            <w:pPr>
              <w:rPr>
                <w:sz w:val="20"/>
                <w:szCs w:val="20"/>
                <w:lang w:val="fr-FR"/>
              </w:rPr>
            </w:pPr>
            <w:r w:rsidRPr="00803A75">
              <w:rPr>
                <w:sz w:val="20"/>
                <w:szCs w:val="20"/>
                <w:lang w:val="fr-FR"/>
              </w:rPr>
              <w:t>Actifs sous gestion</w:t>
            </w:r>
          </w:p>
        </w:tc>
        <w:tc>
          <w:tcPr>
            <w:tcW w:w="4508" w:type="dxa"/>
          </w:tcPr>
          <w:p w14:paraId="0F737DE0" w14:textId="1C53613A" w:rsidR="00182E1B" w:rsidRPr="00803A75" w:rsidRDefault="00182E1B" w:rsidP="007F5E04">
            <w:pPr>
              <w:rPr>
                <w:sz w:val="20"/>
                <w:szCs w:val="20"/>
                <w:lang w:val="fr-FR"/>
              </w:rPr>
            </w:pPr>
            <w:r w:rsidRPr="00803A75">
              <w:rPr>
                <w:sz w:val="20"/>
                <w:szCs w:val="20"/>
                <w:lang w:val="fr-FR"/>
              </w:rPr>
              <w:t>EUR 40m</w:t>
            </w:r>
          </w:p>
        </w:tc>
      </w:tr>
      <w:tr w:rsidR="00182E1B" w:rsidRPr="00803A75" w14:paraId="5829B289" w14:textId="77777777" w:rsidTr="007F5E04">
        <w:tc>
          <w:tcPr>
            <w:tcW w:w="4508" w:type="dxa"/>
          </w:tcPr>
          <w:p w14:paraId="03CA9630" w14:textId="1D037D23" w:rsidR="00182E1B" w:rsidRPr="00803A75" w:rsidRDefault="00EE2380" w:rsidP="007F5E04">
            <w:pPr>
              <w:rPr>
                <w:sz w:val="20"/>
                <w:szCs w:val="20"/>
                <w:lang w:val="fr-FR"/>
              </w:rPr>
            </w:pPr>
            <w:r w:rsidRPr="00803A75">
              <w:rPr>
                <w:sz w:val="20"/>
                <w:szCs w:val="20"/>
                <w:lang w:val="fr-FR"/>
              </w:rPr>
              <w:t>Institutions de microfinance partenaires</w:t>
            </w:r>
            <w:r w:rsidR="00182E1B" w:rsidRPr="00803A75">
              <w:rPr>
                <w:sz w:val="20"/>
                <w:szCs w:val="20"/>
                <w:lang w:val="fr-FR"/>
              </w:rPr>
              <w:t xml:space="preserve"> </w:t>
            </w:r>
          </w:p>
        </w:tc>
        <w:tc>
          <w:tcPr>
            <w:tcW w:w="4508" w:type="dxa"/>
          </w:tcPr>
          <w:p w14:paraId="0DF05641" w14:textId="6976DD97" w:rsidR="00182E1B" w:rsidRPr="00803A75" w:rsidRDefault="00182E1B" w:rsidP="007F5E04">
            <w:pPr>
              <w:rPr>
                <w:sz w:val="20"/>
                <w:szCs w:val="20"/>
                <w:lang w:val="fr-FR"/>
              </w:rPr>
            </w:pPr>
            <w:r w:rsidRPr="00803A75">
              <w:rPr>
                <w:sz w:val="20"/>
                <w:szCs w:val="20"/>
                <w:lang w:val="fr-FR"/>
              </w:rPr>
              <w:t>57</w:t>
            </w:r>
          </w:p>
        </w:tc>
      </w:tr>
      <w:tr w:rsidR="00182E1B" w:rsidRPr="00803A75" w14:paraId="1B730861" w14:textId="77777777" w:rsidTr="007F5E04">
        <w:tc>
          <w:tcPr>
            <w:tcW w:w="4508" w:type="dxa"/>
          </w:tcPr>
          <w:p w14:paraId="52B31114" w14:textId="33F6A8EF" w:rsidR="00182E1B" w:rsidRPr="00803A75" w:rsidRDefault="00EE2380" w:rsidP="007F5E04">
            <w:pPr>
              <w:rPr>
                <w:sz w:val="20"/>
                <w:szCs w:val="20"/>
                <w:lang w:val="fr-FR"/>
              </w:rPr>
            </w:pPr>
            <w:r w:rsidRPr="00803A75">
              <w:rPr>
                <w:sz w:val="20"/>
                <w:szCs w:val="20"/>
                <w:lang w:val="fr-FR"/>
              </w:rPr>
              <w:t>Pays bénéficiant actuellement d’investissements</w:t>
            </w:r>
          </w:p>
        </w:tc>
        <w:tc>
          <w:tcPr>
            <w:tcW w:w="4508" w:type="dxa"/>
          </w:tcPr>
          <w:p w14:paraId="3AA307E7" w14:textId="02AED58E" w:rsidR="00182E1B" w:rsidRPr="00803A75" w:rsidRDefault="00182E1B" w:rsidP="007F5E04">
            <w:pPr>
              <w:rPr>
                <w:sz w:val="20"/>
                <w:szCs w:val="20"/>
                <w:lang w:val="fr-FR"/>
              </w:rPr>
            </w:pPr>
            <w:r w:rsidRPr="00803A75">
              <w:rPr>
                <w:sz w:val="20"/>
                <w:szCs w:val="20"/>
                <w:lang w:val="fr-FR"/>
              </w:rPr>
              <w:t>26</w:t>
            </w:r>
          </w:p>
        </w:tc>
      </w:tr>
      <w:tr w:rsidR="00182E1B" w:rsidRPr="00803A75" w14:paraId="4018B47E" w14:textId="77777777" w:rsidTr="007F5E04">
        <w:tc>
          <w:tcPr>
            <w:tcW w:w="4508" w:type="dxa"/>
          </w:tcPr>
          <w:p w14:paraId="114E6774" w14:textId="68F63BCD" w:rsidR="00182E1B" w:rsidRPr="00803A75" w:rsidRDefault="00EE2380" w:rsidP="007F5E04">
            <w:pPr>
              <w:rPr>
                <w:sz w:val="20"/>
                <w:szCs w:val="20"/>
                <w:lang w:val="fr-FR"/>
              </w:rPr>
            </w:pPr>
            <w:r w:rsidRPr="00803A75">
              <w:rPr>
                <w:sz w:val="20"/>
                <w:szCs w:val="20"/>
                <w:lang w:val="fr-FR"/>
              </w:rPr>
              <w:t>Millions levés auprès d’investisseurs privés luxembourgeois (depuis 2012)</w:t>
            </w:r>
          </w:p>
        </w:tc>
        <w:tc>
          <w:tcPr>
            <w:tcW w:w="4508" w:type="dxa"/>
          </w:tcPr>
          <w:p w14:paraId="07E39005" w14:textId="035E63AE" w:rsidR="00182E1B" w:rsidRPr="00803A75" w:rsidRDefault="00182E1B" w:rsidP="007F5E04">
            <w:pPr>
              <w:rPr>
                <w:sz w:val="20"/>
                <w:szCs w:val="20"/>
                <w:lang w:val="fr-FR"/>
              </w:rPr>
            </w:pPr>
            <w:r w:rsidRPr="00803A75">
              <w:rPr>
                <w:sz w:val="20"/>
                <w:szCs w:val="20"/>
                <w:lang w:val="fr-FR"/>
              </w:rPr>
              <w:t>EUR 14.5m</w:t>
            </w:r>
          </w:p>
        </w:tc>
      </w:tr>
    </w:tbl>
    <w:p w14:paraId="0B3A0F0F" w14:textId="4D605D4F" w:rsidR="00182E1B" w:rsidRPr="00803A75" w:rsidRDefault="00182E1B" w:rsidP="009A0A65">
      <w:pPr>
        <w:rPr>
          <w:sz w:val="22"/>
          <w:szCs w:val="20"/>
          <w:lang w:val="fr-FR"/>
        </w:rPr>
      </w:pPr>
    </w:p>
    <w:p w14:paraId="5481E459" w14:textId="6669D8A0" w:rsidR="00EF1F82" w:rsidRPr="00803A75" w:rsidRDefault="00EE2380" w:rsidP="009A0A65">
      <w:pPr>
        <w:rPr>
          <w:b/>
          <w:bCs/>
          <w:sz w:val="22"/>
          <w:szCs w:val="20"/>
          <w:lang w:val="fr-FR"/>
        </w:rPr>
      </w:pPr>
      <w:r w:rsidRPr="00803A75">
        <w:rPr>
          <w:b/>
          <w:bCs/>
          <w:sz w:val="22"/>
          <w:szCs w:val="20"/>
          <w:lang w:val="fr-FR"/>
        </w:rPr>
        <w:t>Impact social</w:t>
      </w:r>
    </w:p>
    <w:tbl>
      <w:tblPr>
        <w:tblStyle w:val="TableGrid"/>
        <w:tblpPr w:leftFromText="180" w:rightFromText="180" w:vertAnchor="text" w:horzAnchor="margin" w:tblpY="-14"/>
        <w:tblW w:w="0" w:type="auto"/>
        <w:tblLook w:val="04A0" w:firstRow="1" w:lastRow="0" w:firstColumn="1" w:lastColumn="0" w:noHBand="0" w:noVBand="1"/>
      </w:tblPr>
      <w:tblGrid>
        <w:gridCol w:w="4508"/>
        <w:gridCol w:w="4508"/>
      </w:tblGrid>
      <w:tr w:rsidR="00182E1B" w:rsidRPr="00803A75" w14:paraId="78DD378C" w14:textId="77777777" w:rsidTr="007F5E04">
        <w:tc>
          <w:tcPr>
            <w:tcW w:w="4508" w:type="dxa"/>
          </w:tcPr>
          <w:p w14:paraId="086570CD" w14:textId="4879517D" w:rsidR="00182E1B" w:rsidRPr="00803A75" w:rsidRDefault="00EE2380" w:rsidP="007F5E04">
            <w:pPr>
              <w:rPr>
                <w:sz w:val="20"/>
                <w:szCs w:val="20"/>
                <w:lang w:val="fr-FR"/>
              </w:rPr>
            </w:pPr>
            <w:r w:rsidRPr="00803A75">
              <w:rPr>
                <w:sz w:val="20"/>
                <w:szCs w:val="20"/>
                <w:lang w:val="fr-FR"/>
              </w:rPr>
              <w:t>Étudiants financés en Amérique latine</w:t>
            </w:r>
          </w:p>
        </w:tc>
        <w:tc>
          <w:tcPr>
            <w:tcW w:w="4508" w:type="dxa"/>
          </w:tcPr>
          <w:p w14:paraId="36A52730" w14:textId="6B665B33" w:rsidR="00182E1B" w:rsidRPr="00803A75" w:rsidRDefault="00182E1B" w:rsidP="007F5E04">
            <w:pPr>
              <w:rPr>
                <w:sz w:val="20"/>
                <w:szCs w:val="20"/>
                <w:lang w:val="fr-FR"/>
              </w:rPr>
            </w:pPr>
            <w:r w:rsidRPr="00803A75">
              <w:rPr>
                <w:sz w:val="20"/>
                <w:szCs w:val="20"/>
                <w:lang w:val="fr-FR"/>
              </w:rPr>
              <w:t>1,148</w:t>
            </w:r>
          </w:p>
        </w:tc>
      </w:tr>
      <w:tr w:rsidR="00182E1B" w:rsidRPr="00803A75" w14:paraId="4D7FF64E" w14:textId="77777777" w:rsidTr="007F5E04">
        <w:tc>
          <w:tcPr>
            <w:tcW w:w="4508" w:type="dxa"/>
          </w:tcPr>
          <w:p w14:paraId="59A8F144" w14:textId="0CFEDC7E" w:rsidR="00182E1B" w:rsidRPr="00803A75" w:rsidRDefault="00EE2380" w:rsidP="007F5E04">
            <w:pPr>
              <w:rPr>
                <w:sz w:val="20"/>
                <w:szCs w:val="20"/>
                <w:lang w:val="fr-FR"/>
              </w:rPr>
            </w:pPr>
            <w:r w:rsidRPr="00803A75">
              <w:rPr>
                <w:sz w:val="20"/>
                <w:szCs w:val="20"/>
                <w:lang w:val="fr-FR"/>
              </w:rPr>
              <w:t>Femmes financées par le Fonds</w:t>
            </w:r>
          </w:p>
        </w:tc>
        <w:tc>
          <w:tcPr>
            <w:tcW w:w="4508" w:type="dxa"/>
          </w:tcPr>
          <w:p w14:paraId="413C9DD6" w14:textId="2CBDB234" w:rsidR="00182E1B" w:rsidRPr="00803A75" w:rsidRDefault="00182E1B" w:rsidP="007F5E04">
            <w:pPr>
              <w:rPr>
                <w:sz w:val="20"/>
                <w:szCs w:val="20"/>
                <w:lang w:val="fr-FR"/>
              </w:rPr>
            </w:pPr>
            <w:r w:rsidRPr="00803A75">
              <w:rPr>
                <w:sz w:val="20"/>
                <w:szCs w:val="20"/>
                <w:lang w:val="fr-FR"/>
              </w:rPr>
              <w:t>77%</w:t>
            </w:r>
          </w:p>
        </w:tc>
      </w:tr>
      <w:tr w:rsidR="00182E1B" w:rsidRPr="00803A75" w14:paraId="2F6B9F2D" w14:textId="77777777" w:rsidTr="007F5E04">
        <w:tc>
          <w:tcPr>
            <w:tcW w:w="4508" w:type="dxa"/>
          </w:tcPr>
          <w:p w14:paraId="4118E6D4" w14:textId="29C4A126" w:rsidR="00182E1B" w:rsidRPr="00803A75" w:rsidRDefault="00EE2380" w:rsidP="007F5E04">
            <w:pPr>
              <w:rPr>
                <w:sz w:val="20"/>
                <w:szCs w:val="20"/>
                <w:lang w:val="fr-FR"/>
              </w:rPr>
            </w:pPr>
            <w:r w:rsidRPr="00803A75">
              <w:rPr>
                <w:sz w:val="20"/>
                <w:szCs w:val="20"/>
                <w:lang w:val="fr-FR"/>
              </w:rPr>
              <w:t>Prêts aux populations rurale</w:t>
            </w:r>
            <w:r w:rsidRPr="00803A75">
              <w:rPr>
                <w:sz w:val="20"/>
                <w:szCs w:val="20"/>
                <w:lang w:val="fr-FR"/>
              </w:rPr>
              <w:t>s</w:t>
            </w:r>
          </w:p>
        </w:tc>
        <w:tc>
          <w:tcPr>
            <w:tcW w:w="4508" w:type="dxa"/>
          </w:tcPr>
          <w:p w14:paraId="735C1A58" w14:textId="4A7F9593" w:rsidR="00182E1B" w:rsidRPr="00803A75" w:rsidRDefault="00182E1B" w:rsidP="007F5E04">
            <w:pPr>
              <w:rPr>
                <w:sz w:val="20"/>
                <w:szCs w:val="20"/>
                <w:lang w:val="fr-FR"/>
              </w:rPr>
            </w:pPr>
            <w:r w:rsidRPr="00803A75">
              <w:rPr>
                <w:sz w:val="20"/>
                <w:szCs w:val="20"/>
                <w:lang w:val="fr-FR"/>
              </w:rPr>
              <w:t>60%</w:t>
            </w:r>
          </w:p>
        </w:tc>
      </w:tr>
      <w:tr w:rsidR="00182E1B" w:rsidRPr="00803A75" w14:paraId="7E97A83C" w14:textId="77777777" w:rsidTr="007F5E04">
        <w:tc>
          <w:tcPr>
            <w:tcW w:w="4508" w:type="dxa"/>
          </w:tcPr>
          <w:p w14:paraId="4EC648E7" w14:textId="72C98562" w:rsidR="00182E1B" w:rsidRPr="00803A75" w:rsidRDefault="00EE2380" w:rsidP="007F5E04">
            <w:pPr>
              <w:rPr>
                <w:sz w:val="20"/>
                <w:szCs w:val="20"/>
                <w:lang w:val="fr-FR"/>
              </w:rPr>
            </w:pPr>
            <w:r w:rsidRPr="00803A75">
              <w:rPr>
                <w:sz w:val="20"/>
                <w:szCs w:val="20"/>
                <w:lang w:val="fr-FR"/>
              </w:rPr>
              <w:t>Ratio moyen prêt / PIB</w:t>
            </w:r>
          </w:p>
        </w:tc>
        <w:tc>
          <w:tcPr>
            <w:tcW w:w="4508" w:type="dxa"/>
          </w:tcPr>
          <w:p w14:paraId="27E7B1AB" w14:textId="16F18D72" w:rsidR="00182E1B" w:rsidRPr="00803A75" w:rsidRDefault="00182E1B" w:rsidP="007F5E04">
            <w:pPr>
              <w:rPr>
                <w:sz w:val="20"/>
                <w:szCs w:val="20"/>
                <w:lang w:val="fr-FR"/>
              </w:rPr>
            </w:pPr>
            <w:r w:rsidRPr="00803A75">
              <w:rPr>
                <w:sz w:val="20"/>
                <w:szCs w:val="20"/>
                <w:lang w:val="fr-FR"/>
              </w:rPr>
              <w:t>0.48</w:t>
            </w:r>
          </w:p>
        </w:tc>
      </w:tr>
      <w:tr w:rsidR="00182E1B" w:rsidRPr="00803A75" w14:paraId="10874DD2" w14:textId="77777777" w:rsidTr="007F5E04">
        <w:tc>
          <w:tcPr>
            <w:tcW w:w="4508" w:type="dxa"/>
          </w:tcPr>
          <w:p w14:paraId="2BC5F41E" w14:textId="3E6621AE" w:rsidR="00182E1B" w:rsidRPr="00803A75" w:rsidRDefault="00EE2380" w:rsidP="007F5E04">
            <w:pPr>
              <w:rPr>
                <w:sz w:val="20"/>
                <w:szCs w:val="20"/>
                <w:lang w:val="fr-FR"/>
              </w:rPr>
            </w:pPr>
            <w:r w:rsidRPr="00803A75">
              <w:rPr>
                <w:sz w:val="20"/>
                <w:szCs w:val="20"/>
                <w:lang w:val="fr-FR"/>
              </w:rPr>
              <w:t>Montant moyen des prêts</w:t>
            </w:r>
            <w:r w:rsidR="00182E1B" w:rsidRPr="00803A75">
              <w:rPr>
                <w:sz w:val="20"/>
                <w:szCs w:val="20"/>
                <w:lang w:val="fr-FR"/>
              </w:rPr>
              <w:t> </w:t>
            </w:r>
          </w:p>
        </w:tc>
        <w:tc>
          <w:tcPr>
            <w:tcW w:w="4508" w:type="dxa"/>
          </w:tcPr>
          <w:p w14:paraId="6432EBA7" w14:textId="474B7D9E" w:rsidR="00182E1B" w:rsidRPr="00803A75" w:rsidRDefault="00182E1B" w:rsidP="007F5E04">
            <w:pPr>
              <w:rPr>
                <w:sz w:val="20"/>
                <w:szCs w:val="20"/>
                <w:lang w:val="fr-FR"/>
              </w:rPr>
            </w:pPr>
            <w:r w:rsidRPr="00803A75">
              <w:rPr>
                <w:sz w:val="20"/>
                <w:szCs w:val="20"/>
                <w:lang w:val="fr-FR"/>
              </w:rPr>
              <w:t>EUR 1,597</w:t>
            </w:r>
          </w:p>
        </w:tc>
      </w:tr>
      <w:tr w:rsidR="00182E1B" w:rsidRPr="00803A75" w14:paraId="22DFCAE4" w14:textId="77777777" w:rsidTr="007F5E04">
        <w:tc>
          <w:tcPr>
            <w:tcW w:w="4508" w:type="dxa"/>
          </w:tcPr>
          <w:p w14:paraId="66B95781" w14:textId="02192784" w:rsidR="00182E1B" w:rsidRPr="00803A75" w:rsidRDefault="00EE2380" w:rsidP="007F5E04">
            <w:pPr>
              <w:rPr>
                <w:sz w:val="20"/>
                <w:szCs w:val="20"/>
                <w:lang w:val="fr-FR"/>
              </w:rPr>
            </w:pPr>
            <w:r w:rsidRPr="00803A75">
              <w:rPr>
                <w:sz w:val="20"/>
                <w:szCs w:val="20"/>
                <w:lang w:val="fr-FR"/>
              </w:rPr>
              <w:t>Micro-entrepreneurs des pays à IDH faible et moyen</w:t>
            </w:r>
          </w:p>
        </w:tc>
        <w:tc>
          <w:tcPr>
            <w:tcW w:w="4508" w:type="dxa"/>
          </w:tcPr>
          <w:p w14:paraId="6F5ECCB2" w14:textId="305A9597" w:rsidR="00182E1B" w:rsidRPr="00803A75" w:rsidRDefault="00182E1B" w:rsidP="007F5E04">
            <w:pPr>
              <w:rPr>
                <w:sz w:val="20"/>
                <w:szCs w:val="20"/>
                <w:lang w:val="fr-FR"/>
              </w:rPr>
            </w:pPr>
            <w:r w:rsidRPr="00803A75">
              <w:rPr>
                <w:sz w:val="20"/>
                <w:szCs w:val="20"/>
                <w:lang w:val="fr-FR"/>
              </w:rPr>
              <w:t>79%</w:t>
            </w:r>
          </w:p>
        </w:tc>
      </w:tr>
      <w:tr w:rsidR="00182E1B" w:rsidRPr="00803A75" w14:paraId="6289B685" w14:textId="77777777" w:rsidTr="007F5E04">
        <w:tc>
          <w:tcPr>
            <w:tcW w:w="4508" w:type="dxa"/>
          </w:tcPr>
          <w:p w14:paraId="0C28BDDC" w14:textId="172BC4E3" w:rsidR="00182E1B" w:rsidRPr="00803A75" w:rsidRDefault="00EE2380" w:rsidP="007F5E04">
            <w:pPr>
              <w:rPr>
                <w:sz w:val="20"/>
                <w:szCs w:val="20"/>
                <w:lang w:val="fr-FR"/>
              </w:rPr>
            </w:pPr>
            <w:r w:rsidRPr="00803A75">
              <w:rPr>
                <w:sz w:val="20"/>
                <w:szCs w:val="20"/>
                <w:lang w:val="fr-FR"/>
              </w:rPr>
              <w:t xml:space="preserve">IMF </w:t>
            </w:r>
            <w:r w:rsidRPr="00803A75">
              <w:rPr>
                <w:sz w:val="20"/>
                <w:szCs w:val="20"/>
                <w:lang w:val="fr-FR"/>
              </w:rPr>
              <w:t>ayant</w:t>
            </w:r>
            <w:r w:rsidRPr="00803A75">
              <w:rPr>
                <w:sz w:val="20"/>
                <w:szCs w:val="20"/>
                <w:lang w:val="fr-FR"/>
              </w:rPr>
              <w:t xml:space="preserve"> reçu une assistance technique en 2019</w:t>
            </w:r>
          </w:p>
        </w:tc>
        <w:tc>
          <w:tcPr>
            <w:tcW w:w="4508" w:type="dxa"/>
          </w:tcPr>
          <w:p w14:paraId="1208469D" w14:textId="4B332314" w:rsidR="00182E1B" w:rsidRPr="00803A75" w:rsidRDefault="00182E1B" w:rsidP="007F5E04">
            <w:pPr>
              <w:rPr>
                <w:sz w:val="20"/>
                <w:szCs w:val="20"/>
                <w:lang w:val="fr-FR"/>
              </w:rPr>
            </w:pPr>
            <w:r w:rsidRPr="00803A75">
              <w:rPr>
                <w:sz w:val="20"/>
                <w:szCs w:val="20"/>
                <w:lang w:val="fr-FR"/>
              </w:rPr>
              <w:t>56%</w:t>
            </w:r>
          </w:p>
        </w:tc>
      </w:tr>
    </w:tbl>
    <w:p w14:paraId="6B2456FC" w14:textId="6C2A00FF" w:rsidR="00182E1B" w:rsidRPr="00803A75" w:rsidRDefault="00182E1B" w:rsidP="009A0A65">
      <w:pPr>
        <w:rPr>
          <w:sz w:val="22"/>
          <w:szCs w:val="20"/>
          <w:lang w:val="fr-FR"/>
        </w:rPr>
      </w:pPr>
    </w:p>
    <w:p w14:paraId="4CB4E927" w14:textId="6D673BE2" w:rsidR="009A0A65" w:rsidRPr="00803A75" w:rsidRDefault="00803A75" w:rsidP="009A0A65">
      <w:pPr>
        <w:rPr>
          <w:b/>
          <w:bCs/>
          <w:u w:val="single"/>
          <w:lang w:val="fr-FR"/>
        </w:rPr>
      </w:pPr>
      <w:r w:rsidRPr="00803A75">
        <w:rPr>
          <w:b/>
          <w:bCs/>
          <w:u w:val="single"/>
          <w:lang w:val="fr-FR"/>
        </w:rPr>
        <w:t>Plus d’information</w:t>
      </w:r>
    </w:p>
    <w:p w14:paraId="1AF1E397" w14:textId="2EA2240B" w:rsidR="009A0A65" w:rsidRPr="00803A75" w:rsidRDefault="00803A75" w:rsidP="009A0A65">
      <w:pPr>
        <w:pStyle w:val="ListParagraph"/>
        <w:numPr>
          <w:ilvl w:val="0"/>
          <w:numId w:val="1"/>
        </w:numPr>
        <w:rPr>
          <w:sz w:val="20"/>
          <w:szCs w:val="20"/>
          <w:lang w:val="fr-FR"/>
        </w:rPr>
      </w:pPr>
      <w:r w:rsidRPr="00803A75">
        <w:rPr>
          <w:b/>
          <w:bCs/>
          <w:sz w:val="20"/>
          <w:szCs w:val="20"/>
          <w:lang w:val="fr-FR"/>
        </w:rPr>
        <w:t>Gestionnaire du Fonds</w:t>
      </w:r>
      <w:r w:rsidR="00B87D5F" w:rsidRPr="00803A75">
        <w:rPr>
          <w:sz w:val="20"/>
          <w:szCs w:val="20"/>
          <w:lang w:val="fr-FR"/>
        </w:rPr>
        <w:tab/>
      </w:r>
      <w:r w:rsidR="009A0A65" w:rsidRPr="00803A75">
        <w:rPr>
          <w:sz w:val="20"/>
          <w:szCs w:val="20"/>
          <w:lang w:val="fr-FR"/>
        </w:rPr>
        <w:t>Kaspar Wansleben (kaspar@lmdf.lu)</w:t>
      </w:r>
    </w:p>
    <w:p w14:paraId="62D57F42" w14:textId="615F2A6B" w:rsidR="009A0A65" w:rsidRPr="00803A75" w:rsidRDefault="009A0A65" w:rsidP="009A0A65">
      <w:pPr>
        <w:pStyle w:val="ListParagraph"/>
        <w:numPr>
          <w:ilvl w:val="0"/>
          <w:numId w:val="1"/>
        </w:numPr>
        <w:rPr>
          <w:sz w:val="20"/>
          <w:szCs w:val="20"/>
          <w:lang w:val="fr-FR"/>
        </w:rPr>
      </w:pPr>
      <w:r w:rsidRPr="00803A75">
        <w:rPr>
          <w:b/>
          <w:bCs/>
          <w:sz w:val="20"/>
          <w:szCs w:val="20"/>
          <w:lang w:val="fr-FR"/>
        </w:rPr>
        <w:t>Contact</w:t>
      </w:r>
      <w:r w:rsidR="00803A75" w:rsidRPr="00803A75">
        <w:rPr>
          <w:b/>
          <w:bCs/>
          <w:sz w:val="20"/>
          <w:szCs w:val="20"/>
          <w:lang w:val="fr-FR"/>
        </w:rPr>
        <w:t xml:space="preserve"> media</w:t>
      </w:r>
      <w:r w:rsidR="00803A75" w:rsidRPr="00803A75">
        <w:rPr>
          <w:b/>
          <w:bCs/>
          <w:sz w:val="20"/>
          <w:szCs w:val="20"/>
          <w:lang w:val="fr-FR"/>
        </w:rPr>
        <w:tab/>
      </w:r>
      <w:r w:rsidRPr="00803A75">
        <w:rPr>
          <w:b/>
          <w:bCs/>
          <w:sz w:val="20"/>
          <w:szCs w:val="20"/>
          <w:lang w:val="fr-FR"/>
        </w:rPr>
        <w:tab/>
      </w:r>
      <w:r w:rsidR="00B87D5F" w:rsidRPr="00803A75">
        <w:rPr>
          <w:b/>
          <w:bCs/>
          <w:sz w:val="20"/>
          <w:szCs w:val="20"/>
          <w:lang w:val="fr-FR"/>
        </w:rPr>
        <w:tab/>
      </w:r>
      <w:r w:rsidRPr="00803A75">
        <w:rPr>
          <w:sz w:val="20"/>
          <w:szCs w:val="20"/>
          <w:lang w:val="fr-FR"/>
        </w:rPr>
        <w:t xml:space="preserve">Jennifer </w:t>
      </w:r>
      <w:proofErr w:type="spellStart"/>
      <w:r w:rsidRPr="00803A75">
        <w:rPr>
          <w:sz w:val="20"/>
          <w:szCs w:val="20"/>
          <w:lang w:val="fr-FR"/>
        </w:rPr>
        <w:t>Popescu</w:t>
      </w:r>
      <w:proofErr w:type="spellEnd"/>
      <w:r w:rsidRPr="00803A75">
        <w:rPr>
          <w:sz w:val="20"/>
          <w:szCs w:val="20"/>
          <w:lang w:val="fr-FR"/>
        </w:rPr>
        <w:t>-Urbain (jennifer@lmdf.lu)</w:t>
      </w:r>
    </w:p>
    <w:p w14:paraId="540A2A44" w14:textId="5884DB9F" w:rsidR="009A0A65" w:rsidRPr="00803A75" w:rsidRDefault="00803A75" w:rsidP="009A0A65">
      <w:pPr>
        <w:pStyle w:val="ListParagraph"/>
        <w:numPr>
          <w:ilvl w:val="0"/>
          <w:numId w:val="1"/>
        </w:numPr>
        <w:rPr>
          <w:sz w:val="20"/>
          <w:szCs w:val="20"/>
          <w:lang w:val="fr-FR"/>
        </w:rPr>
      </w:pPr>
      <w:r w:rsidRPr="00803A75">
        <w:rPr>
          <w:b/>
          <w:bCs/>
          <w:sz w:val="20"/>
          <w:szCs w:val="20"/>
          <w:lang w:val="fr-FR"/>
        </w:rPr>
        <w:t>Site Web :</w:t>
      </w:r>
      <w:r w:rsidRPr="00803A75">
        <w:rPr>
          <w:b/>
          <w:bCs/>
          <w:sz w:val="20"/>
          <w:szCs w:val="20"/>
          <w:lang w:val="fr-FR"/>
        </w:rPr>
        <w:tab/>
      </w:r>
      <w:r w:rsidR="009A0A65" w:rsidRPr="00803A75">
        <w:rPr>
          <w:b/>
          <w:bCs/>
          <w:sz w:val="20"/>
          <w:szCs w:val="20"/>
          <w:lang w:val="fr-FR"/>
        </w:rPr>
        <w:tab/>
      </w:r>
      <w:r w:rsidR="009A0A65" w:rsidRPr="00803A75">
        <w:rPr>
          <w:b/>
          <w:bCs/>
          <w:sz w:val="20"/>
          <w:szCs w:val="20"/>
          <w:lang w:val="fr-FR"/>
        </w:rPr>
        <w:tab/>
      </w:r>
      <w:hyperlink r:id="rId7" w:history="1">
        <w:r w:rsidR="009A0A65" w:rsidRPr="00803A75">
          <w:rPr>
            <w:rStyle w:val="Hyperlink"/>
            <w:sz w:val="20"/>
            <w:szCs w:val="20"/>
            <w:lang w:val="fr-FR"/>
          </w:rPr>
          <w:t>www.lmdf.lu</w:t>
        </w:r>
      </w:hyperlink>
    </w:p>
    <w:p w14:paraId="4D1605D5" w14:textId="79253C73" w:rsidR="009A0A65" w:rsidRPr="00803A75" w:rsidRDefault="00803A75" w:rsidP="009A0A65">
      <w:pPr>
        <w:pStyle w:val="ListParagraph"/>
        <w:numPr>
          <w:ilvl w:val="0"/>
          <w:numId w:val="1"/>
        </w:numPr>
        <w:rPr>
          <w:sz w:val="20"/>
          <w:szCs w:val="20"/>
          <w:lang w:val="fr-FR"/>
        </w:rPr>
      </w:pPr>
      <w:r w:rsidRPr="00803A75">
        <w:rPr>
          <w:b/>
          <w:bCs/>
          <w:sz w:val="20"/>
          <w:szCs w:val="20"/>
          <w:lang w:val="fr-FR"/>
        </w:rPr>
        <w:t>Téléphone</w:t>
      </w:r>
      <w:r w:rsidR="009A0A65" w:rsidRPr="00803A75">
        <w:rPr>
          <w:b/>
          <w:bCs/>
          <w:sz w:val="20"/>
          <w:szCs w:val="20"/>
          <w:lang w:val="fr-FR"/>
        </w:rPr>
        <w:tab/>
      </w:r>
      <w:r w:rsidRPr="00803A75">
        <w:rPr>
          <w:b/>
          <w:bCs/>
          <w:sz w:val="20"/>
          <w:szCs w:val="20"/>
          <w:lang w:val="fr-FR"/>
        </w:rPr>
        <w:tab/>
      </w:r>
      <w:r w:rsidR="009A0A65" w:rsidRPr="00803A75">
        <w:rPr>
          <w:b/>
          <w:bCs/>
          <w:sz w:val="20"/>
          <w:szCs w:val="20"/>
          <w:lang w:val="fr-FR"/>
        </w:rPr>
        <w:tab/>
      </w:r>
      <w:r w:rsidR="009A0A65" w:rsidRPr="00803A75">
        <w:rPr>
          <w:sz w:val="20"/>
          <w:szCs w:val="20"/>
          <w:lang w:val="fr-FR"/>
        </w:rPr>
        <w:t>+352 27 47 35 41</w:t>
      </w:r>
    </w:p>
    <w:sectPr w:rsidR="009A0A65" w:rsidRPr="00803A7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05727" w14:textId="77777777" w:rsidR="00950F38" w:rsidRDefault="00950F38" w:rsidP="00504A32">
      <w:pPr>
        <w:spacing w:after="0" w:line="240" w:lineRule="auto"/>
      </w:pPr>
      <w:r>
        <w:separator/>
      </w:r>
    </w:p>
  </w:endnote>
  <w:endnote w:type="continuationSeparator" w:id="0">
    <w:p w14:paraId="561658B1" w14:textId="77777777" w:rsidR="00950F38" w:rsidRDefault="00950F38" w:rsidP="0050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854AD" w14:textId="2DA7899E" w:rsidR="00504A32" w:rsidRDefault="00504A32" w:rsidP="00504A32">
    <w:pPr>
      <w:pStyle w:val="Footer"/>
      <w:jc w:val="right"/>
    </w:pPr>
    <w:r>
      <w:rPr>
        <w:noProof/>
      </w:rPr>
      <w:drawing>
        <wp:inline distT="0" distB="0" distL="0" distR="0" wp14:anchorId="2B0C1189" wp14:editId="13CDC8EE">
          <wp:extent cx="1591690" cy="723014"/>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82" cy="74999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EF475" w14:textId="77777777" w:rsidR="00950F38" w:rsidRDefault="00950F38" w:rsidP="00504A32">
      <w:pPr>
        <w:spacing w:after="0" w:line="240" w:lineRule="auto"/>
      </w:pPr>
      <w:r>
        <w:separator/>
      </w:r>
    </w:p>
  </w:footnote>
  <w:footnote w:type="continuationSeparator" w:id="0">
    <w:p w14:paraId="44352F87" w14:textId="77777777" w:rsidR="00950F38" w:rsidRDefault="00950F38" w:rsidP="00504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B01A" w14:textId="58B30AE9" w:rsidR="00504A32" w:rsidRPr="001129CB" w:rsidRDefault="00504A32" w:rsidP="001129CB">
    <w:pPr>
      <w:pStyle w:val="Header"/>
      <w:jc w:val="right"/>
      <w:rPr>
        <w:lang w:val="fr-CH"/>
      </w:rPr>
    </w:pPr>
    <w:r w:rsidRPr="00803A75">
      <w:rPr>
        <w:noProof/>
        <w:sz w:val="22"/>
        <w:szCs w:val="20"/>
      </w:rPr>
      <w:drawing>
        <wp:anchor distT="0" distB="0" distL="114300" distR="114300" simplePos="0" relativeHeight="251658240" behindDoc="0" locked="0" layoutInCell="1" allowOverlap="1" wp14:anchorId="743FBAC6" wp14:editId="5C37CC33">
          <wp:simplePos x="0" y="0"/>
          <wp:positionH relativeFrom="column">
            <wp:posOffset>-63610</wp:posOffset>
          </wp:positionH>
          <wp:positionV relativeFrom="paragraph">
            <wp:posOffset>-258749</wp:posOffset>
          </wp:positionV>
          <wp:extent cx="1229710" cy="1275254"/>
          <wp:effectExtent l="0" t="0" r="889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710" cy="1275254"/>
                  </a:xfrm>
                  <a:prstGeom prst="rect">
                    <a:avLst/>
                  </a:prstGeom>
                  <a:noFill/>
                  <a:ln>
                    <a:noFill/>
                  </a:ln>
                </pic:spPr>
              </pic:pic>
            </a:graphicData>
          </a:graphic>
        </wp:anchor>
      </w:drawing>
    </w:r>
    <w:r w:rsidR="001129CB" w:rsidRPr="00803A75">
      <w:rPr>
        <w:sz w:val="22"/>
        <w:szCs w:val="20"/>
        <w:lang w:val="fr-CH"/>
      </w:rPr>
      <w:t xml:space="preserve">Luxembourg, 12 </w:t>
    </w:r>
    <w:r w:rsidR="005F5C10" w:rsidRPr="00803A75">
      <w:rPr>
        <w:sz w:val="22"/>
        <w:szCs w:val="20"/>
        <w:lang w:val="fr-CH"/>
      </w:rPr>
      <w:t>mars</w:t>
    </w:r>
    <w:r w:rsidR="001129CB" w:rsidRPr="00803A75">
      <w:rPr>
        <w:sz w:val="22"/>
        <w:szCs w:val="20"/>
        <w:lang w:val="fr-CH"/>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225C1"/>
    <w:multiLevelType w:val="hybridMultilevel"/>
    <w:tmpl w:val="B5EEE908"/>
    <w:lvl w:ilvl="0" w:tplc="070A7CE4">
      <w:start w:val="10"/>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52"/>
    <w:rsid w:val="000A1CB5"/>
    <w:rsid w:val="001129CB"/>
    <w:rsid w:val="00130076"/>
    <w:rsid w:val="00182E1B"/>
    <w:rsid w:val="00190D9F"/>
    <w:rsid w:val="001D19E8"/>
    <w:rsid w:val="001E7EC4"/>
    <w:rsid w:val="00264370"/>
    <w:rsid w:val="0039252B"/>
    <w:rsid w:val="0039454D"/>
    <w:rsid w:val="00504A32"/>
    <w:rsid w:val="005F5C10"/>
    <w:rsid w:val="00637539"/>
    <w:rsid w:val="00803A75"/>
    <w:rsid w:val="00850C46"/>
    <w:rsid w:val="00873F34"/>
    <w:rsid w:val="008A1EA3"/>
    <w:rsid w:val="00913D70"/>
    <w:rsid w:val="00950F38"/>
    <w:rsid w:val="009A0A65"/>
    <w:rsid w:val="009A76CB"/>
    <w:rsid w:val="00A03A6F"/>
    <w:rsid w:val="00B84E52"/>
    <w:rsid w:val="00B87D5F"/>
    <w:rsid w:val="00C37F38"/>
    <w:rsid w:val="00C91A7B"/>
    <w:rsid w:val="00CB3758"/>
    <w:rsid w:val="00CB5817"/>
    <w:rsid w:val="00CE179C"/>
    <w:rsid w:val="00D2551C"/>
    <w:rsid w:val="00DB2E1B"/>
    <w:rsid w:val="00E25884"/>
    <w:rsid w:val="00E62A73"/>
    <w:rsid w:val="00EE2380"/>
    <w:rsid w:val="00EF1F82"/>
    <w:rsid w:val="00FD33A2"/>
    <w:rsid w:val="00FF2E28"/>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F065"/>
  <w15:chartTrackingRefBased/>
  <w15:docId w15:val="{F48A280A-A951-4F88-8F57-9C13F6B1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A32"/>
  </w:style>
  <w:style w:type="paragraph" w:styleId="Footer">
    <w:name w:val="footer"/>
    <w:basedOn w:val="Normal"/>
    <w:link w:val="FooterChar"/>
    <w:uiPriority w:val="99"/>
    <w:unhideWhenUsed/>
    <w:rsid w:val="00504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A32"/>
  </w:style>
  <w:style w:type="paragraph" w:styleId="ListParagraph">
    <w:name w:val="List Paragraph"/>
    <w:basedOn w:val="Normal"/>
    <w:uiPriority w:val="34"/>
    <w:qFormat/>
    <w:rsid w:val="009A0A65"/>
    <w:pPr>
      <w:ind w:left="720"/>
      <w:contextualSpacing/>
    </w:pPr>
  </w:style>
  <w:style w:type="character" w:styleId="Hyperlink">
    <w:name w:val="Hyperlink"/>
    <w:basedOn w:val="DefaultParagraphFont"/>
    <w:uiPriority w:val="99"/>
    <w:unhideWhenUsed/>
    <w:rsid w:val="009A0A65"/>
    <w:rPr>
      <w:color w:val="0563C1" w:themeColor="hyperlink"/>
      <w:u w:val="single"/>
    </w:rPr>
  </w:style>
  <w:style w:type="character" w:styleId="UnresolvedMention">
    <w:name w:val="Unresolved Mention"/>
    <w:basedOn w:val="DefaultParagraphFont"/>
    <w:uiPriority w:val="99"/>
    <w:semiHidden/>
    <w:unhideWhenUsed/>
    <w:rsid w:val="009A0A65"/>
    <w:rPr>
      <w:color w:val="605E5C"/>
      <w:shd w:val="clear" w:color="auto" w:fill="E1DFDD"/>
    </w:rPr>
  </w:style>
  <w:style w:type="paragraph" w:styleId="BalloonText">
    <w:name w:val="Balloon Text"/>
    <w:basedOn w:val="Normal"/>
    <w:link w:val="BalloonTextChar"/>
    <w:uiPriority w:val="99"/>
    <w:semiHidden/>
    <w:unhideWhenUsed/>
    <w:rsid w:val="00130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76"/>
    <w:rPr>
      <w:rFonts w:ascii="Segoe UI" w:hAnsi="Segoe UI" w:cs="Segoe UI"/>
      <w:sz w:val="18"/>
      <w:szCs w:val="18"/>
    </w:rPr>
  </w:style>
  <w:style w:type="table" w:styleId="TableGrid">
    <w:name w:val="Table Grid"/>
    <w:basedOn w:val="TableNormal"/>
    <w:uiPriority w:val="39"/>
    <w:rsid w:val="0018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mdf.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Urbain</dc:creator>
  <cp:keywords/>
  <dc:description/>
  <cp:lastModifiedBy>Jennifer Urbain</cp:lastModifiedBy>
  <cp:revision>4</cp:revision>
  <cp:lastPrinted>2020-03-11T13:03:00Z</cp:lastPrinted>
  <dcterms:created xsi:type="dcterms:W3CDTF">2020-03-11T13:52:00Z</dcterms:created>
  <dcterms:modified xsi:type="dcterms:W3CDTF">2020-03-11T15:09:00Z</dcterms:modified>
</cp:coreProperties>
</file>